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9DDF261" w:rsidR="00C10711" w:rsidRPr="005B580C" w:rsidRDefault="00A619C9" w:rsidP="00B00CC3">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«05» марта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0993942F"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F0D67">
        <w:rPr>
          <w:rFonts w:ascii="Times New Roman" w:hAnsi="Times New Roman"/>
          <w:sz w:val="20"/>
          <w:szCs w:val="20"/>
        </w:rPr>
        <w:t>анализаторы цепей</w:t>
      </w:r>
      <w:r w:rsidR="008444C8" w:rsidRPr="001C0D76">
        <w:rPr>
          <w:rFonts w:ascii="Times New Roman" w:hAnsi="Times New Roman"/>
          <w:sz w:val="20"/>
          <w:szCs w:val="20"/>
        </w:rPr>
        <w:t>.</w:t>
      </w:r>
    </w:p>
    <w:p w14:paraId="59C3A42E" w14:textId="47D34B0B"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0D67">
        <w:rPr>
          <w:rFonts w:ascii="Times New Roman" w:hAnsi="Times New Roman"/>
          <w:sz w:val="20"/>
          <w:szCs w:val="20"/>
        </w:rPr>
        <w:t>Анализаторы цепей</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087F377"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0605-2022-00378</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F0D67">
        <w:rPr>
          <w:rFonts w:ascii="Times New Roman" w:hAnsi="Times New Roman"/>
          <w:sz w:val="20"/>
          <w:szCs w:val="20"/>
        </w:rPr>
        <w:t>Анализаторы цепей</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1C5F252"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1F0D67">
        <w:rPr>
          <w:rFonts w:ascii="Times New Roman" w:hAnsi="Times New Roman"/>
          <w:b/>
          <w:sz w:val="20"/>
          <w:szCs w:val="20"/>
        </w:rPr>
        <w:t>31 163 040</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1F0D67">
        <w:rPr>
          <w:rFonts w:ascii="Times New Roman" w:hAnsi="Times New Roman"/>
          <w:sz w:val="20"/>
          <w:szCs w:val="20"/>
        </w:rPr>
        <w:t>тридцать один миллион сто шестьдесят три тысячи сорок</w:t>
      </w:r>
      <w:r w:rsidR="00A619C9" w:rsidRPr="005B580C">
        <w:rPr>
          <w:rFonts w:ascii="Times New Roman" w:hAnsi="Times New Roman"/>
          <w:sz w:val="20"/>
          <w:szCs w:val="20"/>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E9F269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«09</w:t>
      </w:r>
      <w:r w:rsidR="00A619C9" w:rsidRPr="005B580C">
        <w:rPr>
          <w:rFonts w:ascii="Times New Roman" w:hAnsi="Times New Roman"/>
          <w:sz w:val="20"/>
          <w:szCs w:val="20"/>
        </w:rPr>
        <w:t>» марта 2022 года</w:t>
      </w:r>
      <w:r w:rsidRPr="005B580C">
        <w:rPr>
          <w:rFonts w:ascii="Times New Roman" w:hAnsi="Times New Roman"/>
          <w:bCs/>
          <w:sz w:val="20"/>
          <w:szCs w:val="20"/>
        </w:rPr>
        <w:t>;</w:t>
      </w:r>
    </w:p>
    <w:p w14:paraId="1589EB68" w14:textId="783F1DB5"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16A03">
        <w:rPr>
          <w:rFonts w:ascii="Times New Roman" w:hAnsi="Times New Roman"/>
          <w:sz w:val="20"/>
          <w:szCs w:val="20"/>
        </w:rPr>
        <w:t>1</w:t>
      </w:r>
      <w:r w:rsidR="001F0D67">
        <w:rPr>
          <w:rFonts w:ascii="Times New Roman" w:hAnsi="Times New Roman"/>
          <w:sz w:val="20"/>
          <w:szCs w:val="20"/>
        </w:rPr>
        <w:t>6</w:t>
      </w:r>
      <w:r w:rsidR="006E082A"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2463E8E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155 815,00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5B5F11CD"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roofErr w:type="gramStart"/>
      <w:r>
        <w:rPr>
          <w:rFonts w:ascii="Times New Roman" w:hAnsi="Times New Roman"/>
          <w:sz w:val="20"/>
          <w:szCs w:val="20"/>
        </w:rPr>
        <w:t>.</w:t>
      </w:r>
      <w:r w:rsidR="00C10711" w:rsidRPr="005B580C">
        <w:rPr>
          <w:rFonts w:ascii="Times New Roman" w:hAnsi="Times New Roman"/>
          <w:sz w:val="20"/>
          <w:szCs w:val="20"/>
          <w:lang w:val="ru"/>
        </w:rPr>
        <w:t>.</w:t>
      </w:r>
      <w:proofErr w:type="gramEnd"/>
    </w:p>
    <w:p w14:paraId="62631D71" w14:textId="7D6FDF8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1F0D67">
        <w:rPr>
          <w:rFonts w:ascii="Times New Roman" w:hAnsi="Times New Roman"/>
          <w:sz w:val="20"/>
          <w:szCs w:val="20"/>
        </w:rPr>
        <w:t>23</w:t>
      </w:r>
      <w:r w:rsidR="001774B9"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0CFFEA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619C9" w:rsidRPr="005B580C">
        <w:rPr>
          <w:rFonts w:ascii="Times New Roman" w:hAnsi="Times New Roman"/>
          <w:sz w:val="20"/>
          <w:szCs w:val="20"/>
        </w:rPr>
        <w:t>2</w:t>
      </w:r>
      <w:r w:rsidR="001F0D67">
        <w:rPr>
          <w:rFonts w:ascii="Times New Roman" w:hAnsi="Times New Roman"/>
          <w:sz w:val="20"/>
          <w:szCs w:val="20"/>
        </w:rPr>
        <w:t>5</w:t>
      </w:r>
      <w:r w:rsidR="003A0063" w:rsidRPr="005B580C">
        <w:rPr>
          <w:rFonts w:ascii="Times New Roman" w:hAnsi="Times New Roman"/>
          <w:sz w:val="20"/>
          <w:szCs w:val="20"/>
        </w:rPr>
        <w:t>»</w:t>
      </w:r>
      <w:r w:rsidR="00A619C9" w:rsidRPr="005B580C">
        <w:rPr>
          <w:rFonts w:ascii="Times New Roman" w:hAnsi="Times New Roman"/>
          <w:sz w:val="20"/>
          <w:szCs w:val="20"/>
        </w:rPr>
        <w:t xml:space="preserve"> марта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1B268BB" w:rsidR="00496A80" w:rsidRPr="005B580C" w:rsidRDefault="00496A80" w:rsidP="00A619C9">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05</w:t>
            </w:r>
            <w:r w:rsidRPr="005B580C">
              <w:rPr>
                <w:rFonts w:ascii="Times New Roman" w:hAnsi="Times New Roman"/>
                <w:sz w:val="20"/>
                <w:szCs w:val="20"/>
              </w:rPr>
              <w:t xml:space="preserve">» </w:t>
            </w:r>
            <w:r w:rsidR="00A619C9" w:rsidRPr="005B580C">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68B1E7A7"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1F0D67">
        <w:rPr>
          <w:rStyle w:val="afffff5"/>
          <w:rFonts w:ascii="Times New Roman" w:hAnsi="Times New Roman"/>
          <w:sz w:val="20"/>
          <w:szCs w:val="20"/>
        </w:rPr>
        <w:t>анализаторы цепей</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B31DDE">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B31DDE">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B31DDE">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B31DDE">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B31DDE">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B31DDE">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B31DDE">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B31DDE">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B31DDE">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B31DDE">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B31DDE">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B31DDE">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B31DDE">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B31DDE">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B31DDE">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B31DDE">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B31DDE">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B31DDE">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B31DDE">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B31DDE">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B31DDE">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B31DDE">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B31DDE">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B31DDE">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B31DDE">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B31DDE">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B31DDE">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B31DDE">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B31DDE">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B31DDE">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B31DDE">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B31DDE">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B31DDE">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B31DDE">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B31DDE">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B31DDE">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B31DDE">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B31DDE">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B31DDE">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B31DDE">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77777777"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1F0D67">
              <w:rPr>
                <w:rFonts w:ascii="Times New Roman" w:hAnsi="Times New Roman"/>
                <w:bCs/>
                <w:sz w:val="20"/>
                <w:szCs w:val="20"/>
              </w:rPr>
              <w:t>378</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F0D67">
              <w:rPr>
                <w:rFonts w:ascii="Times New Roman" w:hAnsi="Times New Roman"/>
                <w:bCs/>
                <w:sz w:val="20"/>
                <w:szCs w:val="20"/>
              </w:rPr>
              <w:t>Анализаторы цепей</w:t>
            </w:r>
            <w:r>
              <w:rPr>
                <w:rFonts w:ascii="Times New Roman" w:hAnsi="Times New Roman"/>
                <w:bCs/>
                <w:sz w:val="20"/>
                <w:szCs w:val="20"/>
              </w:rPr>
              <w:t>.</w:t>
            </w:r>
          </w:p>
          <w:p w14:paraId="37168A85" w14:textId="120417DA" w:rsidR="00B31DDE" w:rsidRPr="005B580C" w:rsidRDefault="00B31DDE" w:rsidP="0013449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w:t>
            </w:r>
            <w:r w:rsidR="0013449D">
              <w:rPr>
                <w:rFonts w:ascii="Times New Roman" w:hAnsi="Times New Roman"/>
                <w:b/>
                <w:color w:val="000099"/>
                <w:sz w:val="20"/>
                <w:szCs w:val="20"/>
              </w:rPr>
              <w:t>51</w:t>
            </w:r>
            <w:bookmarkStart w:id="531" w:name="_GoBack"/>
            <w:bookmarkEnd w:id="531"/>
            <w:r w:rsidRPr="00D2655B">
              <w:rPr>
                <w:rFonts w:ascii="Times New Roman" w:hAnsi="Times New Roman"/>
                <w:b/>
                <w:color w:val="000099"/>
                <w:sz w:val="20"/>
                <w:szCs w:val="20"/>
              </w:rPr>
              <w:t xml:space="preserve">, ОКПД 2: </w:t>
            </w:r>
            <w:r w:rsidR="0013449D">
              <w:rPr>
                <w:rFonts w:ascii="Times New Roman" w:hAnsi="Times New Roman"/>
                <w:b/>
                <w:color w:val="000099"/>
                <w:sz w:val="20"/>
                <w:szCs w:val="20"/>
              </w:rPr>
              <w:t>26.51.41.140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4139B00" w:rsidR="0075298C" w:rsidRPr="005B580C" w:rsidRDefault="0075298C" w:rsidP="001F0D6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1F0D67">
              <w:rPr>
                <w:rFonts w:ascii="Times New Roman" w:hAnsi="Times New Roman"/>
                <w:bCs/>
                <w:sz w:val="20"/>
                <w:szCs w:val="20"/>
              </w:rPr>
              <w:t>378</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BA0ADF8" w:rsidR="0075298C" w:rsidRPr="005B580C" w:rsidRDefault="001F0D67" w:rsidP="001F0D67">
            <w:pPr>
              <w:spacing w:before="120" w:after="0" w:line="240" w:lineRule="auto"/>
              <w:jc w:val="both"/>
              <w:rPr>
                <w:rFonts w:ascii="Times New Roman" w:hAnsi="Times New Roman"/>
                <w:i/>
                <w:iCs/>
                <w:sz w:val="20"/>
                <w:szCs w:val="20"/>
              </w:rPr>
            </w:pPr>
            <w:r>
              <w:rPr>
                <w:rFonts w:ascii="Times New Roman" w:eastAsia="Times New Roman" w:hAnsi="Times New Roman"/>
                <w:i/>
                <w:sz w:val="20"/>
                <w:szCs w:val="20"/>
                <w:lang w:eastAsia="ru-RU"/>
              </w:rPr>
              <w:t>31 163 040,00</w:t>
            </w:r>
            <w:r w:rsidR="005F6B6D"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один миллион сто шестьдесят три тысячи сорок</w:t>
            </w:r>
            <w:r w:rsidR="005F6B6D" w:rsidRPr="005B580C">
              <w:rPr>
                <w:rFonts w:ascii="Times New Roman" w:eastAsia="Times New Roman" w:hAnsi="Times New Roman"/>
                <w:i/>
                <w:sz w:val="20"/>
                <w:szCs w:val="20"/>
                <w:lang w:eastAsia="ru-RU"/>
              </w:rPr>
              <w:t>) рублей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6F2331AA" w:rsidR="00B2374D" w:rsidRPr="005B580C" w:rsidRDefault="006E3491" w:rsidP="005A6ADE">
            <w:pPr>
              <w:pStyle w:val="a"/>
              <w:numPr>
                <w:ilvl w:val="0"/>
                <w:numId w:val="0"/>
              </w:numPr>
              <w:rPr>
                <w:rFonts w:ascii="Times New Roman" w:hAnsi="Times New Roman"/>
                <w:sz w:val="20"/>
                <w:szCs w:val="20"/>
              </w:rPr>
            </w:pPr>
            <w:r>
              <w:rPr>
                <w:rFonts w:ascii="Times New Roman" w:hAnsi="Times New Roman"/>
                <w:sz w:val="20"/>
                <w:szCs w:val="20"/>
              </w:rPr>
              <w:t>До 01.06.2022г.</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3AB149F2" w:rsidR="00B2374D" w:rsidRPr="005B580C" w:rsidRDefault="001F0D67" w:rsidP="001F0D67">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C40C24C" w14:textId="4B4F2A72"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23412B9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155 815,00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12BC197C" w:rsidR="00B2374D" w:rsidRPr="005B580C" w:rsidRDefault="00B2374D" w:rsidP="006E3491">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5F6B6D" w:rsidRPr="005B580C">
              <w:rPr>
                <w:rFonts w:ascii="Times New Roman" w:hAnsi="Times New Roman"/>
                <w:bCs/>
                <w:spacing w:val="-6"/>
                <w:sz w:val="20"/>
                <w:szCs w:val="20"/>
              </w:rPr>
              <w:t>0</w:t>
            </w:r>
            <w:r w:rsidR="006E3491">
              <w:rPr>
                <w:rFonts w:ascii="Times New Roman" w:hAnsi="Times New Roman"/>
                <w:bCs/>
                <w:spacing w:val="-6"/>
                <w:sz w:val="20"/>
                <w:szCs w:val="20"/>
              </w:rPr>
              <w:t>9</w:t>
            </w:r>
            <w:r w:rsidRPr="005B580C">
              <w:rPr>
                <w:rFonts w:ascii="Times New Roman" w:hAnsi="Times New Roman"/>
                <w:bCs/>
                <w:spacing w:val="-6"/>
                <w:sz w:val="20"/>
                <w:szCs w:val="20"/>
              </w:rPr>
              <w:t xml:space="preserve">» </w:t>
            </w:r>
            <w:r w:rsidR="005F6B6D"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3D24B4" w:rsidRPr="005B580C">
              <w:rPr>
                <w:rFonts w:ascii="Times New Roman" w:hAnsi="Times New Roman"/>
                <w:bCs/>
                <w:spacing w:val="-6"/>
                <w:sz w:val="20"/>
                <w:szCs w:val="20"/>
              </w:rPr>
              <w:t>1</w:t>
            </w:r>
            <w:r w:rsidR="006E3491">
              <w:rPr>
                <w:rFonts w:ascii="Times New Roman" w:hAnsi="Times New Roman"/>
                <w:bCs/>
                <w:spacing w:val="-6"/>
                <w:sz w:val="20"/>
                <w:szCs w:val="20"/>
              </w:rPr>
              <w:t>6</w:t>
            </w:r>
            <w:r w:rsidRPr="005B580C">
              <w:rPr>
                <w:rFonts w:ascii="Times New Roman" w:hAnsi="Times New Roman"/>
                <w:bCs/>
                <w:spacing w:val="-6"/>
                <w:sz w:val="20"/>
                <w:szCs w:val="20"/>
              </w:rPr>
              <w:t>»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BB3D6F0" w:rsidR="003F1C9B" w:rsidRPr="005B580C" w:rsidRDefault="003F1C9B" w:rsidP="009147B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предоставляются с «</w:t>
            </w:r>
            <w:r w:rsidR="003D24B4" w:rsidRPr="005B580C">
              <w:rPr>
                <w:rFonts w:ascii="Times New Roman" w:hAnsi="Times New Roman"/>
                <w:bCs/>
                <w:sz w:val="20"/>
                <w:szCs w:val="20"/>
              </w:rPr>
              <w:t>0</w:t>
            </w:r>
            <w:r w:rsidR="009147B0">
              <w:rPr>
                <w:rFonts w:ascii="Times New Roman" w:hAnsi="Times New Roman"/>
                <w:bCs/>
                <w:sz w:val="20"/>
                <w:szCs w:val="20"/>
              </w:rPr>
              <w:t>9</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9147B0">
              <w:rPr>
                <w:rFonts w:ascii="Times New Roman" w:hAnsi="Times New Roman"/>
                <w:bCs/>
                <w:sz w:val="20"/>
                <w:szCs w:val="20"/>
              </w:rPr>
              <w:t>14</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D199483" w:rsidR="003F1C9B" w:rsidRPr="005B580C" w:rsidRDefault="003F1C9B" w:rsidP="009147B0">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9147B0">
              <w:rPr>
                <w:rFonts w:ascii="Times New Roman" w:hAnsi="Times New Roman"/>
                <w:bCs/>
                <w:spacing w:val="-6"/>
                <w:sz w:val="20"/>
                <w:szCs w:val="20"/>
              </w:rPr>
              <w:t>23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 xml:space="preserve">»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21</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 xml:space="preserve">оценки и сопоставления, подведения </w:t>
            </w:r>
            <w:r w:rsidR="003F1C9B" w:rsidRPr="005B580C">
              <w:rPr>
                <w:rFonts w:ascii="Times New Roman" w:hAnsi="Times New Roman"/>
                <w:sz w:val="20"/>
                <w:szCs w:val="20"/>
              </w:rPr>
              <w:lastRenderedPageBreak/>
              <w:t>итогов закупки</w:t>
            </w:r>
          </w:p>
        </w:tc>
        <w:tc>
          <w:tcPr>
            <w:tcW w:w="6946" w:type="dxa"/>
          </w:tcPr>
          <w:p w14:paraId="488015BB" w14:textId="724E0CF0" w:rsidR="003F1C9B" w:rsidRPr="005B580C" w:rsidRDefault="003F1C9B" w:rsidP="009147B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lastRenderedPageBreak/>
              <w:t>«</w:t>
            </w:r>
            <w:r w:rsidR="009147B0">
              <w:rPr>
                <w:rFonts w:ascii="Times New Roman" w:hAnsi="Times New Roman"/>
                <w:bCs/>
                <w:spacing w:val="-6"/>
                <w:sz w:val="20"/>
                <w:szCs w:val="20"/>
              </w:rPr>
              <w:t>25</w:t>
            </w:r>
            <w:r w:rsidRPr="005B580C">
              <w:rPr>
                <w:rFonts w:ascii="Times New Roman" w:hAnsi="Times New Roman"/>
                <w:bCs/>
                <w:spacing w:val="-6"/>
                <w:sz w:val="20"/>
                <w:szCs w:val="20"/>
              </w:rPr>
              <w:t xml:space="preserve">» </w:t>
            </w:r>
            <w:r w:rsidR="00590618"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B31DDE"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B31DDE"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B31DDE"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B31DDE"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B31DDE"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B31DDE"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4E42C983" w:rsidR="0004037E" w:rsidRPr="005B580C" w:rsidRDefault="00B54734" w:rsidP="00B54734">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договоров (контрактов), стоимость каждого из которых не менее 30%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BBD7042" w:rsidR="00AE4822" w:rsidRPr="005B580C" w:rsidRDefault="00425237" w:rsidP="00F81BE9">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EB1928">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3E99EA28" w:rsidR="00366344" w:rsidRPr="005B580C" w:rsidRDefault="00F81BE9" w:rsidP="00EB6F67">
            <w:pPr>
              <w:rPr>
                <w:rFonts w:ascii="Times New Roman" w:eastAsiaTheme="majorEastAsia" w:hAnsi="Times New Roman"/>
                <w:bCs/>
                <w:sz w:val="20"/>
                <w:szCs w:val="20"/>
                <w:lang w:val="ru"/>
              </w:rPr>
            </w:pPr>
            <w:r>
              <w:rPr>
                <w:rFonts w:ascii="Times New Roman" w:eastAsiaTheme="majorEastAsia" w:hAnsi="Times New Roman"/>
                <w:bCs/>
                <w:sz w:val="20"/>
                <w:szCs w:val="20"/>
              </w:rPr>
              <w:t>Поставка товара: Анализаторы цепей</w:t>
            </w:r>
          </w:p>
        </w:tc>
        <w:tc>
          <w:tcPr>
            <w:tcW w:w="3305" w:type="dxa"/>
          </w:tcPr>
          <w:p w14:paraId="0EC266F7" w14:textId="698671BE" w:rsidR="00366344" w:rsidRPr="005B580C" w:rsidRDefault="00F81BE9" w:rsidP="00F81BE9">
            <w:pPr>
              <w:rPr>
                <w:rFonts w:ascii="Times New Roman" w:eastAsiaTheme="majorEastAsia" w:hAnsi="Times New Roman"/>
                <w:b/>
                <w:bCs/>
                <w:sz w:val="20"/>
                <w:szCs w:val="20"/>
                <w:lang w:val="ru"/>
              </w:rPr>
            </w:pPr>
            <w:r>
              <w:rPr>
                <w:rFonts w:ascii="Times New Roman" w:hAnsi="Times New Roman"/>
                <w:b/>
                <w:sz w:val="20"/>
                <w:szCs w:val="20"/>
              </w:rPr>
              <w:t>31 163 040,00</w:t>
            </w:r>
            <w:r w:rsidR="00DE5156" w:rsidRPr="005B580C">
              <w:rPr>
                <w:rFonts w:ascii="Times New Roman" w:hAnsi="Times New Roman"/>
                <w:sz w:val="20"/>
                <w:szCs w:val="20"/>
              </w:rPr>
              <w:t xml:space="preserve"> (</w:t>
            </w:r>
            <w:r>
              <w:rPr>
                <w:rFonts w:ascii="Times New Roman" w:hAnsi="Times New Roman"/>
                <w:sz w:val="20"/>
                <w:szCs w:val="20"/>
              </w:rPr>
              <w:t>тридцать один миллион</w:t>
            </w:r>
            <w:r w:rsidR="004B3396">
              <w:rPr>
                <w:rFonts w:ascii="Times New Roman" w:hAnsi="Times New Roman"/>
                <w:sz w:val="20"/>
                <w:szCs w:val="20"/>
              </w:rPr>
              <w:t xml:space="preserve"> сто шестьдесят три тысячи сорок</w:t>
            </w:r>
            <w:r w:rsidR="00DE5156" w:rsidRPr="005B580C">
              <w:rPr>
                <w:rFonts w:ascii="Times New Roman" w:hAnsi="Times New Roman"/>
                <w:sz w:val="20"/>
                <w:szCs w:val="20"/>
              </w:rPr>
              <w:t>) рублей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1C04E3E" w:rsidR="00366344" w:rsidRPr="005B580C" w:rsidRDefault="00F81BE9" w:rsidP="004B3396">
            <w:pPr>
              <w:rPr>
                <w:rFonts w:ascii="Times New Roman" w:eastAsiaTheme="majorEastAsia" w:hAnsi="Times New Roman"/>
                <w:b/>
                <w:bCs/>
                <w:sz w:val="20"/>
                <w:szCs w:val="20"/>
                <w:lang w:val="ru"/>
              </w:rPr>
            </w:pPr>
            <w:r>
              <w:rPr>
                <w:rFonts w:ascii="Times New Roman" w:hAnsi="Times New Roman"/>
                <w:b/>
                <w:sz w:val="20"/>
                <w:szCs w:val="20"/>
              </w:rPr>
              <w:t>31 163 040</w:t>
            </w:r>
            <w:r w:rsidR="005A55D4">
              <w:rPr>
                <w:rFonts w:ascii="Times New Roman" w:hAnsi="Times New Roman"/>
                <w:b/>
                <w:sz w:val="20"/>
                <w:szCs w:val="20"/>
              </w:rPr>
              <w:t>,00</w:t>
            </w:r>
            <w:r w:rsidR="005A55D4" w:rsidRPr="005B580C">
              <w:rPr>
                <w:rFonts w:ascii="Times New Roman" w:hAnsi="Times New Roman"/>
                <w:sz w:val="20"/>
                <w:szCs w:val="20"/>
              </w:rPr>
              <w:t xml:space="preserve"> (</w:t>
            </w:r>
            <w:r w:rsidR="004B3396">
              <w:rPr>
                <w:rFonts w:ascii="Times New Roman" w:hAnsi="Times New Roman"/>
                <w:sz w:val="20"/>
                <w:szCs w:val="20"/>
              </w:rPr>
              <w:t>тридцать один миллион сто шестьдесят три тысячи  сорок</w:t>
            </w:r>
            <w:r w:rsidR="005A55D4" w:rsidRPr="005B580C">
              <w:rPr>
                <w:rFonts w:ascii="Times New Roman" w:hAnsi="Times New Roman"/>
                <w:sz w:val="20"/>
                <w:szCs w:val="20"/>
              </w:rPr>
              <w:t>)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1A38E031"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Анализаторы цепей</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97"/>
        <w:gridCol w:w="762"/>
        <w:gridCol w:w="1379"/>
        <w:gridCol w:w="1355"/>
        <w:gridCol w:w="1217"/>
        <w:gridCol w:w="546"/>
        <w:gridCol w:w="828"/>
        <w:gridCol w:w="816"/>
        <w:gridCol w:w="1021"/>
      </w:tblGrid>
      <w:tr w:rsidR="004A07D3" w:rsidRPr="004A07D3" w14:paraId="61276DA9" w14:textId="77777777" w:rsidTr="004A07D3">
        <w:trPr>
          <w:cantSplit/>
          <w:trHeight w:val="522"/>
          <w:jc w:val="center"/>
        </w:trPr>
        <w:tc>
          <w:tcPr>
            <w:tcW w:w="237" w:type="pct"/>
            <w:vAlign w:val="center"/>
          </w:tcPr>
          <w:p w14:paraId="1C4290F4"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99" w:type="pct"/>
            <w:vAlign w:val="center"/>
          </w:tcPr>
          <w:p w14:paraId="40BF965D"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81" w:type="pct"/>
            <w:vAlign w:val="center"/>
          </w:tcPr>
          <w:p w14:paraId="10F850B2"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690" w:type="pct"/>
            <w:vAlign w:val="center"/>
          </w:tcPr>
          <w:p w14:paraId="213C6727"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678" w:type="pct"/>
            <w:vAlign w:val="center"/>
          </w:tcPr>
          <w:p w14:paraId="254DF645"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609" w:type="pct"/>
            <w:vAlign w:val="center"/>
          </w:tcPr>
          <w:p w14:paraId="3AED8A43"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273" w:type="pct"/>
            <w:vAlign w:val="center"/>
          </w:tcPr>
          <w:p w14:paraId="45DDF3F9"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414" w:type="pct"/>
            <w:vAlign w:val="center"/>
          </w:tcPr>
          <w:p w14:paraId="6EE563CE"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8" w:type="pct"/>
            <w:vAlign w:val="center"/>
          </w:tcPr>
          <w:p w14:paraId="7132D98F"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511" w:type="pct"/>
            <w:vAlign w:val="center"/>
          </w:tcPr>
          <w:p w14:paraId="46D1293A" w14:textId="77777777" w:rsidR="004A07D3" w:rsidRPr="004A07D3" w:rsidRDefault="004A07D3"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4A07D3" w:rsidRPr="004A07D3" w14:paraId="390CE1C2" w14:textId="77777777" w:rsidTr="004A07D3">
        <w:trPr>
          <w:cantSplit/>
          <w:trHeight w:val="536"/>
          <w:jc w:val="center"/>
        </w:trPr>
        <w:tc>
          <w:tcPr>
            <w:tcW w:w="237" w:type="pct"/>
            <w:noWrap/>
            <w:vAlign w:val="center"/>
          </w:tcPr>
          <w:p w14:paraId="40A6D332" w14:textId="77777777" w:rsidR="004A07D3" w:rsidRPr="004A07D3" w:rsidRDefault="004A07D3"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99" w:type="pct"/>
          </w:tcPr>
          <w:p w14:paraId="5B010718" w14:textId="77777777" w:rsidR="004A07D3" w:rsidRPr="004A07D3" w:rsidRDefault="004A07D3" w:rsidP="004A07D3">
            <w:pPr>
              <w:spacing w:after="0" w:line="240" w:lineRule="auto"/>
              <w:rPr>
                <w:rFonts w:ascii="Times New Roman" w:eastAsia="Times New Roman" w:hAnsi="Times New Roman"/>
                <w:i/>
                <w:sz w:val="16"/>
                <w:szCs w:val="16"/>
                <w:lang w:eastAsia="ru-RU"/>
              </w:rPr>
            </w:pPr>
          </w:p>
        </w:tc>
        <w:tc>
          <w:tcPr>
            <w:tcW w:w="381" w:type="pct"/>
            <w:vAlign w:val="center"/>
          </w:tcPr>
          <w:p w14:paraId="517A0D11" w14:textId="77777777" w:rsidR="004A07D3" w:rsidRPr="004A07D3" w:rsidRDefault="004A07D3" w:rsidP="004A07D3">
            <w:pPr>
              <w:jc w:val="center"/>
              <w:rPr>
                <w:rFonts w:ascii="Times New Roman" w:eastAsia="Times New Roman" w:hAnsi="Times New Roman"/>
                <w:sz w:val="18"/>
                <w:szCs w:val="18"/>
              </w:rPr>
            </w:pPr>
          </w:p>
        </w:tc>
        <w:tc>
          <w:tcPr>
            <w:tcW w:w="690" w:type="pct"/>
            <w:vAlign w:val="center"/>
          </w:tcPr>
          <w:p w14:paraId="52542DDA" w14:textId="77777777" w:rsidR="004A07D3" w:rsidRPr="004A07D3" w:rsidRDefault="004A07D3" w:rsidP="004A07D3">
            <w:pPr>
              <w:jc w:val="center"/>
              <w:rPr>
                <w:rFonts w:ascii="Times New Roman" w:eastAsia="Times New Roman" w:hAnsi="Times New Roman"/>
                <w:sz w:val="18"/>
                <w:szCs w:val="18"/>
              </w:rPr>
            </w:pPr>
          </w:p>
        </w:tc>
        <w:tc>
          <w:tcPr>
            <w:tcW w:w="678" w:type="pct"/>
            <w:vAlign w:val="center"/>
          </w:tcPr>
          <w:p w14:paraId="026FD486" w14:textId="77777777" w:rsidR="004A07D3" w:rsidRPr="004A07D3" w:rsidRDefault="004A07D3" w:rsidP="004A07D3">
            <w:pPr>
              <w:jc w:val="center"/>
              <w:rPr>
                <w:rFonts w:ascii="Times New Roman" w:eastAsia="Times New Roman" w:hAnsi="Times New Roman"/>
                <w:sz w:val="18"/>
                <w:szCs w:val="18"/>
              </w:rPr>
            </w:pPr>
          </w:p>
        </w:tc>
        <w:tc>
          <w:tcPr>
            <w:tcW w:w="609" w:type="pct"/>
          </w:tcPr>
          <w:p w14:paraId="1738C15E" w14:textId="77777777" w:rsidR="004A07D3" w:rsidRPr="004A07D3" w:rsidRDefault="004A07D3" w:rsidP="004A07D3">
            <w:pPr>
              <w:jc w:val="center"/>
              <w:rPr>
                <w:rFonts w:ascii="Times New Roman" w:eastAsia="Times New Roman" w:hAnsi="Times New Roman"/>
                <w:sz w:val="18"/>
                <w:szCs w:val="18"/>
              </w:rPr>
            </w:pPr>
          </w:p>
        </w:tc>
        <w:tc>
          <w:tcPr>
            <w:tcW w:w="273" w:type="pct"/>
            <w:vAlign w:val="center"/>
          </w:tcPr>
          <w:p w14:paraId="775EFED3" w14:textId="77777777" w:rsidR="004A07D3" w:rsidRPr="004A07D3" w:rsidRDefault="004A07D3" w:rsidP="004A07D3">
            <w:pPr>
              <w:jc w:val="center"/>
              <w:rPr>
                <w:rFonts w:ascii="Times New Roman" w:eastAsia="Times New Roman" w:hAnsi="Times New Roman"/>
                <w:sz w:val="16"/>
                <w:szCs w:val="16"/>
              </w:rPr>
            </w:pPr>
          </w:p>
        </w:tc>
        <w:tc>
          <w:tcPr>
            <w:tcW w:w="414" w:type="pct"/>
          </w:tcPr>
          <w:p w14:paraId="1262E708" w14:textId="77777777" w:rsidR="004A07D3" w:rsidRPr="004A07D3" w:rsidRDefault="004A07D3" w:rsidP="004A07D3">
            <w:pPr>
              <w:spacing w:after="0" w:line="240" w:lineRule="auto"/>
              <w:ind w:left="-711"/>
              <w:jc w:val="right"/>
              <w:rPr>
                <w:rFonts w:ascii="Times New Roman" w:eastAsia="Times New Roman" w:hAnsi="Times New Roman"/>
                <w:sz w:val="16"/>
                <w:szCs w:val="16"/>
                <w:lang w:eastAsia="ru-RU"/>
              </w:rPr>
            </w:pPr>
          </w:p>
        </w:tc>
        <w:tc>
          <w:tcPr>
            <w:tcW w:w="408" w:type="pct"/>
            <w:vAlign w:val="center"/>
          </w:tcPr>
          <w:p w14:paraId="7745D37A" w14:textId="77777777" w:rsidR="004A07D3" w:rsidRPr="004A07D3" w:rsidRDefault="004A07D3" w:rsidP="004A07D3">
            <w:pPr>
              <w:jc w:val="center"/>
              <w:rPr>
                <w:rFonts w:ascii="Times New Roman" w:eastAsia="Times New Roman" w:hAnsi="Times New Roman"/>
                <w:sz w:val="16"/>
                <w:szCs w:val="16"/>
              </w:rPr>
            </w:pPr>
          </w:p>
        </w:tc>
        <w:tc>
          <w:tcPr>
            <w:tcW w:w="511" w:type="pct"/>
            <w:vAlign w:val="center"/>
          </w:tcPr>
          <w:p w14:paraId="4CCEEAA7" w14:textId="77777777" w:rsidR="004A07D3" w:rsidRPr="004A07D3" w:rsidRDefault="004A07D3" w:rsidP="004A07D3">
            <w:pPr>
              <w:jc w:val="center"/>
              <w:rPr>
                <w:rFonts w:ascii="Times New Roman" w:eastAsia="Times New Roman" w:hAnsi="Times New Roman"/>
                <w:sz w:val="16"/>
                <w:szCs w:val="16"/>
              </w:rPr>
            </w:pPr>
          </w:p>
        </w:tc>
      </w:tr>
      <w:tr w:rsidR="004A07D3" w:rsidRPr="004A07D3" w14:paraId="61F31F24" w14:textId="77777777" w:rsidTr="004A07D3">
        <w:trPr>
          <w:cantSplit/>
          <w:trHeight w:val="536"/>
          <w:jc w:val="center"/>
        </w:trPr>
        <w:tc>
          <w:tcPr>
            <w:tcW w:w="237"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511"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4A07D3">
        <w:trPr>
          <w:cantSplit/>
          <w:trHeight w:val="536"/>
          <w:jc w:val="center"/>
        </w:trPr>
        <w:tc>
          <w:tcPr>
            <w:tcW w:w="237"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511"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4A07D3">
        <w:trPr>
          <w:cantSplit/>
          <w:trHeight w:val="536"/>
          <w:jc w:val="center"/>
        </w:trPr>
        <w:tc>
          <w:tcPr>
            <w:tcW w:w="237"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52" w:type="pct"/>
            <w:gridSpan w:val="8"/>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511"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4A07D3">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676E9E1B" w14:textId="77777777" w:rsidR="004A07D3" w:rsidRPr="001A43A6" w:rsidRDefault="004A07D3" w:rsidP="004A07D3">
      <w:pPr>
        <w:keepNext/>
        <w:numPr>
          <w:ilvl w:val="0"/>
          <w:numId w:val="17"/>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149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218"/>
        <w:gridCol w:w="1658"/>
        <w:gridCol w:w="781"/>
        <w:gridCol w:w="3261"/>
        <w:gridCol w:w="2284"/>
        <w:gridCol w:w="909"/>
        <w:gridCol w:w="851"/>
        <w:gridCol w:w="1134"/>
        <w:gridCol w:w="775"/>
        <w:gridCol w:w="601"/>
      </w:tblGrid>
      <w:tr w:rsidR="004A07D3" w:rsidRPr="004A07D3" w14:paraId="02B453E4" w14:textId="77777777" w:rsidTr="004A07D3">
        <w:trPr>
          <w:trHeight w:val="20"/>
        </w:trPr>
        <w:tc>
          <w:tcPr>
            <w:tcW w:w="475" w:type="dxa"/>
            <w:shd w:val="clear" w:color="auto" w:fill="auto"/>
            <w:vAlign w:val="center"/>
          </w:tcPr>
          <w:p w14:paraId="7D0266C1" w14:textId="77777777" w:rsidR="004A07D3" w:rsidRPr="004A07D3" w:rsidRDefault="004A07D3" w:rsidP="004A07D3">
            <w:pPr>
              <w:tabs>
                <w:tab w:val="left" w:pos="1261"/>
              </w:tabs>
              <w:spacing w:after="0" w:line="240" w:lineRule="auto"/>
              <w:jc w:val="center"/>
              <w:rPr>
                <w:rFonts w:ascii="Times New Roman" w:hAnsi="Times New Roman"/>
                <w:sz w:val="20"/>
                <w:szCs w:val="20"/>
              </w:rPr>
            </w:pPr>
            <w:r w:rsidRPr="004A07D3">
              <w:rPr>
                <w:rFonts w:ascii="Times New Roman" w:hAnsi="Times New Roman"/>
                <w:sz w:val="20"/>
                <w:szCs w:val="20"/>
              </w:rPr>
              <w:t>№</w:t>
            </w:r>
          </w:p>
          <w:p w14:paraId="602CF91D" w14:textId="77777777" w:rsidR="004A07D3" w:rsidRPr="004A07D3" w:rsidRDefault="004A07D3" w:rsidP="004A07D3">
            <w:pPr>
              <w:tabs>
                <w:tab w:val="left" w:pos="1261"/>
              </w:tabs>
              <w:spacing w:after="0" w:line="240" w:lineRule="auto"/>
              <w:jc w:val="center"/>
              <w:rPr>
                <w:rFonts w:ascii="Times New Roman" w:hAnsi="Times New Roman"/>
                <w:sz w:val="20"/>
                <w:szCs w:val="20"/>
              </w:rPr>
            </w:pPr>
            <w:proofErr w:type="gramStart"/>
            <w:r w:rsidRPr="004A07D3">
              <w:rPr>
                <w:rFonts w:ascii="Times New Roman" w:hAnsi="Times New Roman"/>
                <w:sz w:val="20"/>
                <w:szCs w:val="20"/>
              </w:rPr>
              <w:t>п</w:t>
            </w:r>
            <w:proofErr w:type="gramEnd"/>
            <w:r w:rsidRPr="004A07D3">
              <w:rPr>
                <w:rFonts w:ascii="Times New Roman" w:hAnsi="Times New Roman"/>
                <w:sz w:val="20"/>
                <w:szCs w:val="20"/>
              </w:rPr>
              <w:t>/п</w:t>
            </w:r>
          </w:p>
        </w:tc>
        <w:tc>
          <w:tcPr>
            <w:tcW w:w="2218" w:type="dxa"/>
            <w:vAlign w:val="center"/>
          </w:tcPr>
          <w:p w14:paraId="385DC93E" w14:textId="77777777" w:rsidR="004A07D3" w:rsidRPr="004A07D3" w:rsidRDefault="004A07D3" w:rsidP="004A07D3">
            <w:pPr>
              <w:spacing w:after="0" w:line="240" w:lineRule="auto"/>
              <w:ind w:left="-57" w:right="-57"/>
              <w:jc w:val="center"/>
              <w:rPr>
                <w:rFonts w:ascii="Times New Roman" w:hAnsi="Times New Roman"/>
                <w:sz w:val="20"/>
                <w:szCs w:val="20"/>
                <w:lang w:eastAsia="ru-RU"/>
              </w:rPr>
            </w:pPr>
            <w:r w:rsidRPr="004A07D3">
              <w:rPr>
                <w:rFonts w:ascii="Times New Roman" w:eastAsia="Times New Roman" w:hAnsi="Times New Roman"/>
                <w:snapToGrid w:val="0"/>
                <w:sz w:val="20"/>
                <w:szCs w:val="20"/>
                <w:lang w:eastAsia="ru-RU"/>
              </w:rPr>
              <w:t>Наименование каждой единицы продукции</w:t>
            </w:r>
          </w:p>
          <w:p w14:paraId="00FE2519" w14:textId="77777777" w:rsidR="004A07D3" w:rsidRPr="004A07D3" w:rsidRDefault="004A07D3" w:rsidP="004A07D3">
            <w:pPr>
              <w:spacing w:after="0" w:line="240" w:lineRule="auto"/>
              <w:ind w:left="-57" w:right="-57"/>
              <w:jc w:val="center"/>
              <w:rPr>
                <w:rFonts w:ascii="Times New Roman" w:hAnsi="Times New Roman"/>
                <w:sz w:val="20"/>
                <w:szCs w:val="20"/>
              </w:rPr>
            </w:pPr>
          </w:p>
        </w:tc>
        <w:tc>
          <w:tcPr>
            <w:tcW w:w="1658" w:type="dxa"/>
            <w:shd w:val="clear" w:color="auto" w:fill="auto"/>
            <w:vAlign w:val="center"/>
          </w:tcPr>
          <w:p w14:paraId="30E1CDD4"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7"/>
            </w:r>
          </w:p>
        </w:tc>
        <w:tc>
          <w:tcPr>
            <w:tcW w:w="781" w:type="dxa"/>
          </w:tcPr>
          <w:p w14:paraId="61A21C20"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261" w:type="dxa"/>
          </w:tcPr>
          <w:p w14:paraId="231DE25D" w14:textId="77777777" w:rsidR="004A07D3" w:rsidRPr="004A07D3" w:rsidRDefault="004A07D3" w:rsidP="004A07D3">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14:paraId="4C81C6C7" w14:textId="77777777" w:rsidR="004A07D3" w:rsidRPr="004A07D3" w:rsidRDefault="004A07D3" w:rsidP="004A07D3">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14:paraId="29B39497"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284" w:type="dxa"/>
            <w:vAlign w:val="center"/>
          </w:tcPr>
          <w:p w14:paraId="69582597"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c>
          <w:tcPr>
            <w:tcW w:w="909" w:type="dxa"/>
            <w:vAlign w:val="center"/>
          </w:tcPr>
          <w:p w14:paraId="75A70FA8" w14:textId="77777777" w:rsidR="004A07D3" w:rsidRPr="004A07D3" w:rsidRDefault="004A07D3" w:rsidP="004A07D3">
            <w:pPr>
              <w:spacing w:after="0" w:line="240" w:lineRule="auto"/>
              <w:ind w:left="-108" w:right="-108"/>
              <w:jc w:val="center"/>
              <w:rPr>
                <w:rFonts w:ascii="Times New Roman" w:hAnsi="Times New Roman"/>
                <w:sz w:val="16"/>
                <w:szCs w:val="16"/>
              </w:rPr>
            </w:pPr>
            <w:r w:rsidRPr="004A07D3">
              <w:rPr>
                <w:rFonts w:ascii="Times New Roman" w:eastAsia="Times New Roman" w:hAnsi="Times New Roman"/>
                <w:snapToGrid w:val="0"/>
                <w:sz w:val="16"/>
                <w:szCs w:val="16"/>
                <w:lang w:eastAsia="ru-RU"/>
              </w:rPr>
              <w:t>Номер реестровой записи Единого реестра российской радиоэлектронной продукции</w:t>
            </w:r>
            <w:r w:rsidRPr="004A07D3">
              <w:rPr>
                <w:rFonts w:ascii="Times New Roman" w:eastAsia="Times New Roman" w:hAnsi="Times New Roman"/>
                <w:snapToGrid w:val="0"/>
                <w:sz w:val="16"/>
                <w:szCs w:val="16"/>
                <w:vertAlign w:val="superscript"/>
                <w:lang w:eastAsia="ru-RU"/>
              </w:rPr>
              <w:footnoteReference w:id="9"/>
            </w:r>
          </w:p>
        </w:tc>
        <w:tc>
          <w:tcPr>
            <w:tcW w:w="851" w:type="dxa"/>
            <w:vAlign w:val="center"/>
          </w:tcPr>
          <w:p w14:paraId="25109F43" w14:textId="77777777" w:rsidR="004A07D3" w:rsidRPr="004A07D3" w:rsidRDefault="004A07D3" w:rsidP="004A07D3">
            <w:pPr>
              <w:spacing w:after="0" w:line="240" w:lineRule="auto"/>
              <w:ind w:left="-108" w:right="-108"/>
              <w:jc w:val="center"/>
              <w:rPr>
                <w:rFonts w:ascii="Times New Roman" w:hAnsi="Times New Roman"/>
                <w:sz w:val="16"/>
                <w:szCs w:val="16"/>
              </w:rPr>
            </w:pPr>
            <w:r w:rsidRPr="004A07D3">
              <w:rPr>
                <w:rFonts w:ascii="Times New Roman" w:hAnsi="Times New Roman"/>
                <w:sz w:val="16"/>
                <w:szCs w:val="16"/>
              </w:rPr>
              <w:t>Номер реестровой записи реестра промышленной продукции, произведенной на территории Российской Федерации</w:t>
            </w:r>
            <w:r w:rsidRPr="004A07D3">
              <w:rPr>
                <w:rFonts w:ascii="Times New Roman" w:eastAsia="Times New Roman" w:hAnsi="Times New Roman"/>
                <w:snapToGrid w:val="0"/>
                <w:sz w:val="16"/>
                <w:szCs w:val="16"/>
                <w:vertAlign w:val="superscript"/>
                <w:lang w:eastAsia="ru-RU"/>
              </w:rPr>
              <w:footnoteReference w:id="10"/>
            </w:r>
          </w:p>
        </w:tc>
        <w:tc>
          <w:tcPr>
            <w:tcW w:w="1134" w:type="dxa"/>
            <w:vAlign w:val="center"/>
          </w:tcPr>
          <w:p w14:paraId="09BA9127" w14:textId="77777777" w:rsidR="004A07D3" w:rsidRPr="004A07D3" w:rsidRDefault="004A07D3" w:rsidP="004A07D3">
            <w:pPr>
              <w:spacing w:after="0" w:line="240" w:lineRule="auto"/>
              <w:ind w:left="-108" w:right="-108"/>
              <w:jc w:val="center"/>
              <w:rPr>
                <w:rFonts w:ascii="Times New Roman" w:hAnsi="Times New Roman"/>
                <w:sz w:val="16"/>
                <w:szCs w:val="16"/>
              </w:rPr>
            </w:pPr>
            <w:r w:rsidRPr="004A07D3">
              <w:rPr>
                <w:rFonts w:ascii="Times New Roman" w:hAnsi="Times New Roman"/>
                <w:sz w:val="16"/>
                <w:szCs w:val="16"/>
              </w:rPr>
              <w:t>Номер реестровой записи реестра промышленной продукции, произведенной на территории государства – члена ЕАЭС, за исключением Российской Федерации</w:t>
            </w:r>
            <w:r w:rsidRPr="004A07D3">
              <w:rPr>
                <w:rFonts w:ascii="Times New Roman" w:hAnsi="Times New Roman"/>
                <w:sz w:val="16"/>
                <w:szCs w:val="16"/>
                <w:vertAlign w:val="superscript"/>
              </w:rPr>
              <w:footnoteReference w:id="11"/>
            </w:r>
          </w:p>
        </w:tc>
        <w:tc>
          <w:tcPr>
            <w:tcW w:w="775" w:type="dxa"/>
            <w:vAlign w:val="center"/>
          </w:tcPr>
          <w:p w14:paraId="555F4767"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eastAsia="Times New Roman" w:hAnsi="Times New Roman"/>
                <w:snapToGrid w:val="0"/>
                <w:sz w:val="20"/>
                <w:szCs w:val="20"/>
                <w:lang w:eastAsia="ru-RU"/>
              </w:rPr>
              <w:t>Ед. изм.</w:t>
            </w:r>
            <w:r w:rsidRPr="004A07D3">
              <w:rPr>
                <w:rFonts w:ascii="Times New Roman" w:eastAsia="Times New Roman" w:hAnsi="Times New Roman"/>
                <w:snapToGrid w:val="0"/>
                <w:sz w:val="20"/>
                <w:szCs w:val="20"/>
                <w:vertAlign w:val="superscript"/>
                <w:lang w:eastAsia="ru-RU"/>
              </w:rPr>
              <w:footnoteReference w:id="12"/>
            </w:r>
          </w:p>
        </w:tc>
        <w:tc>
          <w:tcPr>
            <w:tcW w:w="601" w:type="dxa"/>
            <w:vAlign w:val="center"/>
          </w:tcPr>
          <w:p w14:paraId="43432A23" w14:textId="77777777" w:rsidR="004A07D3" w:rsidRPr="004A07D3" w:rsidRDefault="004A07D3" w:rsidP="004A07D3">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Кол-во</w:t>
            </w:r>
          </w:p>
        </w:tc>
      </w:tr>
      <w:tr w:rsidR="004A07D3" w:rsidRPr="004A07D3" w14:paraId="5FF444F2" w14:textId="77777777" w:rsidTr="004A07D3">
        <w:trPr>
          <w:trHeight w:val="20"/>
        </w:trPr>
        <w:tc>
          <w:tcPr>
            <w:tcW w:w="475" w:type="dxa"/>
            <w:vMerge w:val="restart"/>
            <w:shd w:val="clear" w:color="auto" w:fill="auto"/>
          </w:tcPr>
          <w:p w14:paraId="5B02F6C4"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sz w:val="20"/>
                <w:szCs w:val="20"/>
              </w:rPr>
              <w:lastRenderedPageBreak/>
              <w:t>1</w:t>
            </w:r>
          </w:p>
        </w:tc>
        <w:tc>
          <w:tcPr>
            <w:tcW w:w="2218" w:type="dxa"/>
            <w:vMerge w:val="restart"/>
          </w:tcPr>
          <w:p w14:paraId="1BC1AC1A" w14:textId="37451361"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sz w:val="18"/>
                <w:szCs w:val="18"/>
              </w:rPr>
              <w:t xml:space="preserve">Анализатор </w:t>
            </w:r>
            <w:r>
              <w:rPr>
                <w:rFonts w:ascii="Times New Roman" w:hAnsi="Times New Roman"/>
                <w:sz w:val="18"/>
                <w:szCs w:val="18"/>
              </w:rPr>
              <w:t>цепей</w:t>
            </w:r>
          </w:p>
        </w:tc>
        <w:tc>
          <w:tcPr>
            <w:tcW w:w="1658" w:type="dxa"/>
            <w:vMerge w:val="restart"/>
            <w:shd w:val="clear" w:color="auto" w:fill="auto"/>
          </w:tcPr>
          <w:p w14:paraId="6FF42554"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0448F716"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261" w:type="dxa"/>
            <w:vAlign w:val="center"/>
          </w:tcPr>
          <w:p w14:paraId="7E3BCC4C" w14:textId="0A69D19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sz w:val="18"/>
                <w:szCs w:val="18"/>
              </w:rPr>
              <w:t xml:space="preserve">Диапазон </w:t>
            </w:r>
            <w:r>
              <w:rPr>
                <w:rFonts w:ascii="Times New Roman" w:hAnsi="Times New Roman"/>
                <w:color w:val="000000"/>
                <w:sz w:val="18"/>
                <w:szCs w:val="18"/>
              </w:rPr>
              <w:t>рабочих частот</w:t>
            </w:r>
          </w:p>
        </w:tc>
        <w:tc>
          <w:tcPr>
            <w:tcW w:w="2284" w:type="dxa"/>
          </w:tcPr>
          <w:p w14:paraId="5719807C" w14:textId="77777777" w:rsidR="004A07D3" w:rsidRPr="004A07D3" w:rsidRDefault="004A07D3" w:rsidP="004A07D3">
            <w:pPr>
              <w:spacing w:after="0" w:line="240" w:lineRule="auto"/>
              <w:rPr>
                <w:rFonts w:ascii="Times New Roman" w:hAnsi="Times New Roman"/>
                <w:sz w:val="20"/>
                <w:szCs w:val="20"/>
              </w:rPr>
            </w:pPr>
          </w:p>
        </w:tc>
        <w:tc>
          <w:tcPr>
            <w:tcW w:w="909" w:type="dxa"/>
          </w:tcPr>
          <w:p w14:paraId="0862FF13" w14:textId="77777777" w:rsidR="004A07D3" w:rsidRPr="004A07D3" w:rsidRDefault="004A07D3" w:rsidP="004A07D3">
            <w:pPr>
              <w:spacing w:after="0" w:line="240" w:lineRule="auto"/>
              <w:rPr>
                <w:rFonts w:ascii="Times New Roman" w:hAnsi="Times New Roman"/>
                <w:sz w:val="20"/>
                <w:szCs w:val="20"/>
              </w:rPr>
            </w:pPr>
          </w:p>
        </w:tc>
        <w:tc>
          <w:tcPr>
            <w:tcW w:w="851" w:type="dxa"/>
          </w:tcPr>
          <w:p w14:paraId="58E03033"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2BA60C7D" w14:textId="77777777" w:rsidR="004A07D3" w:rsidRPr="004A07D3" w:rsidRDefault="004A07D3" w:rsidP="004A07D3">
            <w:pPr>
              <w:spacing w:after="0" w:line="240" w:lineRule="auto"/>
              <w:rPr>
                <w:rFonts w:ascii="Times New Roman" w:hAnsi="Times New Roman"/>
                <w:sz w:val="20"/>
                <w:szCs w:val="20"/>
              </w:rPr>
            </w:pPr>
          </w:p>
        </w:tc>
        <w:tc>
          <w:tcPr>
            <w:tcW w:w="775" w:type="dxa"/>
            <w:vMerge w:val="restart"/>
          </w:tcPr>
          <w:p w14:paraId="1C39E9D5" w14:textId="101C45FD" w:rsidR="004A07D3" w:rsidRPr="004A07D3" w:rsidRDefault="004A07D3" w:rsidP="004A07D3">
            <w:pPr>
              <w:spacing w:after="0" w:line="240" w:lineRule="auto"/>
              <w:jc w:val="center"/>
              <w:rPr>
                <w:rFonts w:ascii="Times New Roman" w:hAnsi="Times New Roman"/>
                <w:sz w:val="20"/>
                <w:szCs w:val="20"/>
              </w:rPr>
            </w:pPr>
          </w:p>
        </w:tc>
        <w:tc>
          <w:tcPr>
            <w:tcW w:w="601" w:type="dxa"/>
            <w:vMerge w:val="restart"/>
          </w:tcPr>
          <w:p w14:paraId="74CC62B9" w14:textId="27B5A3AC" w:rsidR="004A07D3" w:rsidRPr="004A07D3" w:rsidRDefault="004A07D3" w:rsidP="004A07D3">
            <w:pPr>
              <w:spacing w:after="0" w:line="240" w:lineRule="auto"/>
              <w:jc w:val="center"/>
              <w:rPr>
                <w:rFonts w:ascii="Times New Roman" w:hAnsi="Times New Roman"/>
                <w:sz w:val="20"/>
                <w:szCs w:val="20"/>
              </w:rPr>
            </w:pPr>
          </w:p>
        </w:tc>
      </w:tr>
      <w:tr w:rsidR="004A07D3" w:rsidRPr="004A07D3" w14:paraId="38ABB3E8" w14:textId="77777777" w:rsidTr="004A07D3">
        <w:trPr>
          <w:trHeight w:val="20"/>
        </w:trPr>
        <w:tc>
          <w:tcPr>
            <w:tcW w:w="475" w:type="dxa"/>
            <w:vMerge/>
            <w:shd w:val="clear" w:color="auto" w:fill="auto"/>
          </w:tcPr>
          <w:p w14:paraId="3905EDC7"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337FBA6B"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461F6D84"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3EB94834"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261" w:type="dxa"/>
            <w:vAlign w:val="center"/>
          </w:tcPr>
          <w:p w14:paraId="6513D844" w14:textId="73DCC81D" w:rsidR="004A07D3" w:rsidRPr="004A07D3" w:rsidRDefault="004A07D3" w:rsidP="004A07D3">
            <w:pPr>
              <w:spacing w:after="0" w:line="240" w:lineRule="auto"/>
              <w:rPr>
                <w:rFonts w:ascii="Times New Roman" w:hAnsi="Times New Roman"/>
                <w:sz w:val="20"/>
                <w:szCs w:val="20"/>
              </w:rPr>
            </w:pPr>
            <w:r>
              <w:rPr>
                <w:rFonts w:ascii="Times New Roman" w:hAnsi="Times New Roman"/>
                <w:color w:val="000000"/>
                <w:sz w:val="18"/>
                <w:szCs w:val="18"/>
              </w:rPr>
              <w:t>Количество и тип измерительных портов</w:t>
            </w:r>
          </w:p>
        </w:tc>
        <w:tc>
          <w:tcPr>
            <w:tcW w:w="2284" w:type="dxa"/>
          </w:tcPr>
          <w:p w14:paraId="455C9FB0" w14:textId="77777777" w:rsidR="004A07D3" w:rsidRPr="004A07D3" w:rsidRDefault="004A07D3" w:rsidP="004A07D3">
            <w:pPr>
              <w:spacing w:after="0" w:line="240" w:lineRule="auto"/>
              <w:rPr>
                <w:rFonts w:ascii="Times New Roman" w:hAnsi="Times New Roman"/>
                <w:sz w:val="20"/>
                <w:szCs w:val="20"/>
              </w:rPr>
            </w:pPr>
          </w:p>
        </w:tc>
        <w:tc>
          <w:tcPr>
            <w:tcW w:w="909" w:type="dxa"/>
          </w:tcPr>
          <w:p w14:paraId="0D670DDD" w14:textId="77777777" w:rsidR="004A07D3" w:rsidRPr="004A07D3" w:rsidRDefault="004A07D3" w:rsidP="004A07D3">
            <w:pPr>
              <w:spacing w:after="0" w:line="240" w:lineRule="auto"/>
              <w:rPr>
                <w:rFonts w:ascii="Times New Roman" w:hAnsi="Times New Roman"/>
                <w:sz w:val="20"/>
                <w:szCs w:val="20"/>
              </w:rPr>
            </w:pPr>
          </w:p>
        </w:tc>
        <w:tc>
          <w:tcPr>
            <w:tcW w:w="851" w:type="dxa"/>
          </w:tcPr>
          <w:p w14:paraId="458B927A"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167F3F32"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2AA811B8"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0CBC8E4C"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302ECAAE" w14:textId="77777777" w:rsidTr="004A07D3">
        <w:trPr>
          <w:trHeight w:val="20"/>
        </w:trPr>
        <w:tc>
          <w:tcPr>
            <w:tcW w:w="475" w:type="dxa"/>
            <w:vMerge/>
            <w:shd w:val="clear" w:color="auto" w:fill="auto"/>
          </w:tcPr>
          <w:p w14:paraId="2E218AE6"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57DA5532"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6E034F7B"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100D063E"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261" w:type="dxa"/>
            <w:vAlign w:val="center"/>
          </w:tcPr>
          <w:p w14:paraId="5EB522DB" w14:textId="30F7C1E5" w:rsidR="004A07D3" w:rsidRPr="004A07D3" w:rsidRDefault="004A07D3" w:rsidP="004A07D3">
            <w:pPr>
              <w:spacing w:after="0" w:line="240" w:lineRule="auto"/>
              <w:rPr>
                <w:rFonts w:ascii="Times New Roman" w:hAnsi="Times New Roman"/>
                <w:sz w:val="20"/>
                <w:szCs w:val="20"/>
              </w:rPr>
            </w:pPr>
            <w:r>
              <w:rPr>
                <w:rFonts w:ascii="Times New Roman" w:hAnsi="Times New Roman"/>
                <w:color w:val="000000"/>
                <w:sz w:val="18"/>
                <w:szCs w:val="18"/>
              </w:rPr>
              <w:t>Пределы допускаемой относительной погрешности установки частоты</w:t>
            </w:r>
          </w:p>
        </w:tc>
        <w:tc>
          <w:tcPr>
            <w:tcW w:w="2284" w:type="dxa"/>
          </w:tcPr>
          <w:p w14:paraId="66071D73" w14:textId="77777777" w:rsidR="004A07D3" w:rsidRPr="004A07D3" w:rsidRDefault="004A07D3" w:rsidP="004A07D3">
            <w:pPr>
              <w:spacing w:after="0" w:line="240" w:lineRule="auto"/>
              <w:rPr>
                <w:rFonts w:ascii="Times New Roman" w:hAnsi="Times New Roman"/>
                <w:sz w:val="20"/>
                <w:szCs w:val="20"/>
              </w:rPr>
            </w:pPr>
          </w:p>
        </w:tc>
        <w:tc>
          <w:tcPr>
            <w:tcW w:w="909" w:type="dxa"/>
          </w:tcPr>
          <w:p w14:paraId="3A01A237" w14:textId="77777777" w:rsidR="004A07D3" w:rsidRPr="004A07D3" w:rsidRDefault="004A07D3" w:rsidP="004A07D3">
            <w:pPr>
              <w:spacing w:after="0" w:line="240" w:lineRule="auto"/>
              <w:rPr>
                <w:rFonts w:ascii="Times New Roman" w:hAnsi="Times New Roman"/>
                <w:sz w:val="20"/>
                <w:szCs w:val="20"/>
              </w:rPr>
            </w:pPr>
          </w:p>
        </w:tc>
        <w:tc>
          <w:tcPr>
            <w:tcW w:w="851" w:type="dxa"/>
          </w:tcPr>
          <w:p w14:paraId="6BB8DEDC"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2E4A97AF"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7EA9CE7E"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5363A146"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65AE21F1" w14:textId="77777777" w:rsidTr="004A07D3">
        <w:trPr>
          <w:trHeight w:val="20"/>
        </w:trPr>
        <w:tc>
          <w:tcPr>
            <w:tcW w:w="475" w:type="dxa"/>
            <w:vMerge/>
            <w:shd w:val="clear" w:color="auto" w:fill="auto"/>
          </w:tcPr>
          <w:p w14:paraId="0E223D4C"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5296360B"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67A42EFE"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20ABAECD"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4</w:t>
            </w:r>
          </w:p>
        </w:tc>
        <w:tc>
          <w:tcPr>
            <w:tcW w:w="3261" w:type="dxa"/>
            <w:vAlign w:val="center"/>
          </w:tcPr>
          <w:p w14:paraId="34569F91"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Динамический диапазон при полосе пропускания фильтра ПЧ 10 Гц не менее, дБ, в диапазоне:</w:t>
            </w:r>
          </w:p>
          <w:p w14:paraId="7A345291"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100 кГц до 1 МГц</w:t>
            </w:r>
          </w:p>
          <w:p w14:paraId="44507D29"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 МГц до 10 МГц</w:t>
            </w:r>
          </w:p>
          <w:p w14:paraId="5EDE6ABB"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10 МГц до 100 МГц</w:t>
            </w:r>
          </w:p>
          <w:p w14:paraId="15B163CC"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100 МГц до 6 ГГц</w:t>
            </w:r>
          </w:p>
          <w:p w14:paraId="755DB0DB" w14:textId="514E571C" w:rsidR="004A07D3" w:rsidRPr="004A07D3" w:rsidRDefault="00D554A7" w:rsidP="00D554A7">
            <w:pPr>
              <w:spacing w:after="0" w:line="240" w:lineRule="auto"/>
              <w:rPr>
                <w:rFonts w:ascii="Times New Roman" w:hAnsi="Times New Roman"/>
                <w:sz w:val="20"/>
                <w:szCs w:val="20"/>
              </w:rPr>
            </w:pPr>
            <w:r w:rsidRPr="00D554A7">
              <w:rPr>
                <w:rFonts w:ascii="Times New Roman" w:hAnsi="Times New Roman"/>
                <w:color w:val="000000"/>
                <w:sz w:val="18"/>
                <w:szCs w:val="18"/>
              </w:rPr>
              <w:t>от 6 ГГц до 20 ГГц</w:t>
            </w:r>
          </w:p>
        </w:tc>
        <w:tc>
          <w:tcPr>
            <w:tcW w:w="2284" w:type="dxa"/>
          </w:tcPr>
          <w:p w14:paraId="2656BF37" w14:textId="77777777" w:rsidR="004A07D3" w:rsidRPr="004A07D3" w:rsidRDefault="004A07D3" w:rsidP="004A07D3">
            <w:pPr>
              <w:spacing w:after="0" w:line="240" w:lineRule="auto"/>
              <w:rPr>
                <w:rFonts w:ascii="Times New Roman" w:hAnsi="Times New Roman"/>
                <w:sz w:val="20"/>
                <w:szCs w:val="20"/>
              </w:rPr>
            </w:pPr>
          </w:p>
        </w:tc>
        <w:tc>
          <w:tcPr>
            <w:tcW w:w="909" w:type="dxa"/>
          </w:tcPr>
          <w:p w14:paraId="68F26BFB" w14:textId="77777777" w:rsidR="004A07D3" w:rsidRPr="004A07D3" w:rsidRDefault="004A07D3" w:rsidP="004A07D3">
            <w:pPr>
              <w:spacing w:after="0" w:line="240" w:lineRule="auto"/>
              <w:rPr>
                <w:rFonts w:ascii="Times New Roman" w:hAnsi="Times New Roman"/>
                <w:sz w:val="20"/>
                <w:szCs w:val="20"/>
              </w:rPr>
            </w:pPr>
          </w:p>
        </w:tc>
        <w:tc>
          <w:tcPr>
            <w:tcW w:w="851" w:type="dxa"/>
          </w:tcPr>
          <w:p w14:paraId="37257591"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331C1F68"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58EDA98E"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308E7F15"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15392D91" w14:textId="77777777" w:rsidTr="004A07D3">
        <w:trPr>
          <w:trHeight w:val="20"/>
        </w:trPr>
        <w:tc>
          <w:tcPr>
            <w:tcW w:w="475" w:type="dxa"/>
            <w:vMerge/>
            <w:shd w:val="clear" w:color="auto" w:fill="auto"/>
          </w:tcPr>
          <w:p w14:paraId="6459082B"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469B4FDC"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4F537686"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4FF6D715"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5</w:t>
            </w:r>
          </w:p>
        </w:tc>
        <w:tc>
          <w:tcPr>
            <w:tcW w:w="3261" w:type="dxa"/>
            <w:vAlign w:val="center"/>
          </w:tcPr>
          <w:p w14:paraId="147D0628"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Диапазон установки уровня выходной мощности, </w:t>
            </w:r>
            <w:proofErr w:type="spellStart"/>
            <w:r w:rsidRPr="00D554A7">
              <w:rPr>
                <w:rFonts w:ascii="Times New Roman" w:hAnsi="Times New Roman"/>
                <w:color w:val="000000"/>
                <w:sz w:val="18"/>
                <w:szCs w:val="20"/>
              </w:rPr>
              <w:t>дБм</w:t>
            </w:r>
            <w:proofErr w:type="spellEnd"/>
            <w:r w:rsidRPr="00D554A7">
              <w:rPr>
                <w:rFonts w:ascii="Times New Roman" w:hAnsi="Times New Roman"/>
                <w:color w:val="000000"/>
                <w:sz w:val="18"/>
                <w:szCs w:val="20"/>
              </w:rPr>
              <w:t>, не менее в диапазоне:</w:t>
            </w:r>
          </w:p>
          <w:p w14:paraId="1B61F9DC"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от 100 кГц до 1 МГц</w:t>
            </w:r>
          </w:p>
          <w:p w14:paraId="18BB31C9"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lastRenderedPageBreak/>
              <w:t>от 1 МГц до 10 МГц</w:t>
            </w:r>
          </w:p>
          <w:p w14:paraId="60719CB9"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от 10 МГц до 20 ГГц</w:t>
            </w:r>
          </w:p>
          <w:p w14:paraId="4BA629C1" w14:textId="4D4CC060" w:rsidR="004A07D3" w:rsidRPr="004A07D3" w:rsidRDefault="004A07D3" w:rsidP="004A07D3">
            <w:pPr>
              <w:spacing w:after="0" w:line="240" w:lineRule="auto"/>
              <w:rPr>
                <w:rFonts w:ascii="Times New Roman" w:hAnsi="Times New Roman"/>
                <w:sz w:val="20"/>
                <w:szCs w:val="20"/>
              </w:rPr>
            </w:pPr>
          </w:p>
        </w:tc>
        <w:tc>
          <w:tcPr>
            <w:tcW w:w="2284" w:type="dxa"/>
          </w:tcPr>
          <w:p w14:paraId="409CA4E2" w14:textId="77777777" w:rsidR="004A07D3" w:rsidRPr="004A07D3" w:rsidRDefault="004A07D3" w:rsidP="004A07D3">
            <w:pPr>
              <w:spacing w:after="0" w:line="240" w:lineRule="auto"/>
              <w:rPr>
                <w:rFonts w:ascii="Times New Roman" w:hAnsi="Times New Roman"/>
                <w:sz w:val="20"/>
                <w:szCs w:val="20"/>
              </w:rPr>
            </w:pPr>
          </w:p>
        </w:tc>
        <w:tc>
          <w:tcPr>
            <w:tcW w:w="909" w:type="dxa"/>
          </w:tcPr>
          <w:p w14:paraId="546E4EC9" w14:textId="77777777" w:rsidR="004A07D3" w:rsidRPr="004A07D3" w:rsidRDefault="004A07D3" w:rsidP="004A07D3">
            <w:pPr>
              <w:spacing w:after="0" w:line="240" w:lineRule="auto"/>
              <w:rPr>
                <w:rFonts w:ascii="Times New Roman" w:hAnsi="Times New Roman"/>
                <w:sz w:val="20"/>
                <w:szCs w:val="20"/>
              </w:rPr>
            </w:pPr>
          </w:p>
        </w:tc>
        <w:tc>
          <w:tcPr>
            <w:tcW w:w="851" w:type="dxa"/>
          </w:tcPr>
          <w:p w14:paraId="26D1694F"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4AC1D1F1"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089FE704"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796E3D78"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3BE36B55" w14:textId="77777777" w:rsidTr="004A07D3">
        <w:trPr>
          <w:trHeight w:val="20"/>
        </w:trPr>
        <w:tc>
          <w:tcPr>
            <w:tcW w:w="475" w:type="dxa"/>
            <w:vMerge/>
            <w:shd w:val="clear" w:color="auto" w:fill="auto"/>
          </w:tcPr>
          <w:p w14:paraId="4D95C8A6"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063F7242"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4B0EFB4F"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18CBDB6B"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6</w:t>
            </w:r>
          </w:p>
        </w:tc>
        <w:tc>
          <w:tcPr>
            <w:tcW w:w="3261" w:type="dxa"/>
            <w:vAlign w:val="center"/>
          </w:tcPr>
          <w:p w14:paraId="4B4964F0"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Пределы допускаемой относительной погрешности установки уровня мощности минус 10 </w:t>
            </w:r>
            <w:proofErr w:type="spellStart"/>
            <w:r w:rsidRPr="00D554A7">
              <w:rPr>
                <w:rFonts w:ascii="Times New Roman" w:hAnsi="Times New Roman"/>
                <w:color w:val="000000"/>
                <w:sz w:val="18"/>
                <w:szCs w:val="20"/>
              </w:rPr>
              <w:t>дБм</w:t>
            </w:r>
            <w:proofErr w:type="spellEnd"/>
            <w:r w:rsidRPr="00D554A7">
              <w:rPr>
                <w:rFonts w:ascii="Times New Roman" w:hAnsi="Times New Roman"/>
                <w:color w:val="000000"/>
                <w:sz w:val="18"/>
                <w:szCs w:val="20"/>
              </w:rPr>
              <w:t>, дБ, в диапазонах частот:</w:t>
            </w:r>
          </w:p>
          <w:p w14:paraId="5FAD69EA" w14:textId="59B229E5" w:rsidR="004A07D3" w:rsidRPr="004A07D3" w:rsidRDefault="00D554A7" w:rsidP="00D554A7">
            <w:pPr>
              <w:spacing w:after="0" w:line="240" w:lineRule="auto"/>
              <w:rPr>
                <w:rFonts w:ascii="Times New Roman" w:hAnsi="Times New Roman"/>
                <w:sz w:val="20"/>
                <w:szCs w:val="20"/>
              </w:rPr>
            </w:pPr>
            <w:r w:rsidRPr="00D554A7">
              <w:rPr>
                <w:rFonts w:ascii="Times New Roman" w:hAnsi="Times New Roman"/>
                <w:color w:val="000000"/>
                <w:sz w:val="18"/>
                <w:szCs w:val="20"/>
              </w:rPr>
              <w:t>от 100 кГц до 20 ГГц</w:t>
            </w:r>
          </w:p>
        </w:tc>
        <w:tc>
          <w:tcPr>
            <w:tcW w:w="2284" w:type="dxa"/>
          </w:tcPr>
          <w:p w14:paraId="1AC5323E" w14:textId="77777777" w:rsidR="004A07D3" w:rsidRPr="004A07D3" w:rsidRDefault="004A07D3" w:rsidP="004A07D3">
            <w:pPr>
              <w:spacing w:after="0" w:line="240" w:lineRule="auto"/>
              <w:rPr>
                <w:rFonts w:ascii="Times New Roman" w:hAnsi="Times New Roman"/>
                <w:sz w:val="20"/>
                <w:szCs w:val="20"/>
              </w:rPr>
            </w:pPr>
          </w:p>
        </w:tc>
        <w:tc>
          <w:tcPr>
            <w:tcW w:w="909" w:type="dxa"/>
          </w:tcPr>
          <w:p w14:paraId="1A252E25" w14:textId="77777777" w:rsidR="004A07D3" w:rsidRPr="004A07D3" w:rsidRDefault="004A07D3" w:rsidP="004A07D3">
            <w:pPr>
              <w:spacing w:after="0" w:line="240" w:lineRule="auto"/>
              <w:rPr>
                <w:rFonts w:ascii="Times New Roman" w:hAnsi="Times New Roman"/>
                <w:sz w:val="20"/>
                <w:szCs w:val="20"/>
              </w:rPr>
            </w:pPr>
          </w:p>
        </w:tc>
        <w:tc>
          <w:tcPr>
            <w:tcW w:w="851" w:type="dxa"/>
          </w:tcPr>
          <w:p w14:paraId="1F680F12"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7616DFE8"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6698B43A"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0B46F2F6"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5C7E838F" w14:textId="77777777" w:rsidTr="004A07D3">
        <w:trPr>
          <w:trHeight w:val="20"/>
        </w:trPr>
        <w:tc>
          <w:tcPr>
            <w:tcW w:w="475" w:type="dxa"/>
            <w:vMerge/>
            <w:shd w:val="clear" w:color="auto" w:fill="auto"/>
          </w:tcPr>
          <w:p w14:paraId="1E997CEA"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0159D91B"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6EEA87D8"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366A5BA9"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7</w:t>
            </w:r>
          </w:p>
        </w:tc>
        <w:tc>
          <w:tcPr>
            <w:tcW w:w="3261" w:type="dxa"/>
            <w:vAlign w:val="center"/>
          </w:tcPr>
          <w:p w14:paraId="294B40E1" w14:textId="1CAB6E45"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20"/>
              </w:rPr>
              <w:t>Полоса пропускания фильтра ПЧ, не менее:</w:t>
            </w:r>
          </w:p>
        </w:tc>
        <w:tc>
          <w:tcPr>
            <w:tcW w:w="2284" w:type="dxa"/>
          </w:tcPr>
          <w:p w14:paraId="4704D373" w14:textId="77777777" w:rsidR="004A07D3" w:rsidRPr="004A07D3" w:rsidRDefault="004A07D3" w:rsidP="004A07D3">
            <w:pPr>
              <w:spacing w:after="0" w:line="240" w:lineRule="auto"/>
              <w:rPr>
                <w:rFonts w:ascii="Times New Roman" w:hAnsi="Times New Roman"/>
                <w:sz w:val="20"/>
                <w:szCs w:val="20"/>
              </w:rPr>
            </w:pPr>
          </w:p>
        </w:tc>
        <w:tc>
          <w:tcPr>
            <w:tcW w:w="909" w:type="dxa"/>
          </w:tcPr>
          <w:p w14:paraId="1F30C935" w14:textId="77777777" w:rsidR="004A07D3" w:rsidRPr="004A07D3" w:rsidRDefault="004A07D3" w:rsidP="004A07D3">
            <w:pPr>
              <w:spacing w:after="0" w:line="240" w:lineRule="auto"/>
              <w:rPr>
                <w:rFonts w:ascii="Times New Roman" w:hAnsi="Times New Roman"/>
                <w:sz w:val="20"/>
                <w:szCs w:val="20"/>
              </w:rPr>
            </w:pPr>
          </w:p>
        </w:tc>
        <w:tc>
          <w:tcPr>
            <w:tcW w:w="851" w:type="dxa"/>
          </w:tcPr>
          <w:p w14:paraId="2DA3B558"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7C70C88E"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0DCAFCC1"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3F4F33AF"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54D6C95D" w14:textId="77777777" w:rsidTr="004A07D3">
        <w:trPr>
          <w:trHeight w:val="20"/>
        </w:trPr>
        <w:tc>
          <w:tcPr>
            <w:tcW w:w="475" w:type="dxa"/>
            <w:vMerge/>
            <w:shd w:val="clear" w:color="auto" w:fill="auto"/>
          </w:tcPr>
          <w:p w14:paraId="7C89ED9F"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526DE373"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5CBB81D3"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20706DB2"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8</w:t>
            </w:r>
          </w:p>
        </w:tc>
        <w:tc>
          <w:tcPr>
            <w:tcW w:w="3261" w:type="dxa"/>
            <w:vAlign w:val="center"/>
          </w:tcPr>
          <w:p w14:paraId="429C4F9F"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Уровень собственного шума приемников, нормализованный к полосе 1 Гц, </w:t>
            </w:r>
            <w:proofErr w:type="spellStart"/>
            <w:r w:rsidRPr="00D554A7">
              <w:rPr>
                <w:rFonts w:ascii="Times New Roman" w:hAnsi="Times New Roman"/>
                <w:color w:val="000000"/>
                <w:sz w:val="18"/>
                <w:szCs w:val="20"/>
              </w:rPr>
              <w:t>дБм</w:t>
            </w:r>
            <w:proofErr w:type="spellEnd"/>
            <w:r w:rsidRPr="00D554A7">
              <w:rPr>
                <w:rFonts w:ascii="Times New Roman" w:hAnsi="Times New Roman"/>
                <w:color w:val="000000"/>
                <w:sz w:val="18"/>
                <w:szCs w:val="20"/>
              </w:rPr>
              <w:t>, в диапазоне частот:</w:t>
            </w:r>
          </w:p>
          <w:p w14:paraId="01A74F85"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от 100 кГц до 300 кГц</w:t>
            </w:r>
          </w:p>
          <w:p w14:paraId="0AA2631B"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от 300 кГц до 1 МГц </w:t>
            </w:r>
          </w:p>
          <w:p w14:paraId="12C0C8B9"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от 1 МГц до 10 МГц </w:t>
            </w:r>
          </w:p>
          <w:p w14:paraId="08E10BE2"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от 10 МГц до 100 МГц </w:t>
            </w:r>
          </w:p>
          <w:p w14:paraId="3C918E71"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от 100 МГц до 10 ГГц</w:t>
            </w:r>
          </w:p>
          <w:p w14:paraId="142D0AAD" w14:textId="37126320" w:rsidR="004A07D3" w:rsidRPr="004A07D3" w:rsidRDefault="00D554A7" w:rsidP="00D554A7">
            <w:pPr>
              <w:spacing w:after="0" w:line="240" w:lineRule="auto"/>
              <w:rPr>
                <w:rFonts w:ascii="Times New Roman" w:hAnsi="Times New Roman"/>
                <w:sz w:val="20"/>
                <w:szCs w:val="20"/>
              </w:rPr>
            </w:pPr>
            <w:r w:rsidRPr="00D554A7">
              <w:rPr>
                <w:rFonts w:ascii="Times New Roman" w:hAnsi="Times New Roman"/>
                <w:color w:val="000000"/>
                <w:sz w:val="18"/>
                <w:szCs w:val="20"/>
              </w:rPr>
              <w:t>от 10 ГГц до 20 ГГц</w:t>
            </w:r>
          </w:p>
        </w:tc>
        <w:tc>
          <w:tcPr>
            <w:tcW w:w="2284" w:type="dxa"/>
          </w:tcPr>
          <w:p w14:paraId="1EFF4D7D" w14:textId="77777777" w:rsidR="004A07D3" w:rsidRPr="004A07D3" w:rsidRDefault="004A07D3" w:rsidP="004A07D3">
            <w:pPr>
              <w:spacing w:after="0" w:line="240" w:lineRule="auto"/>
              <w:rPr>
                <w:rFonts w:ascii="Times New Roman" w:hAnsi="Times New Roman"/>
                <w:sz w:val="20"/>
                <w:szCs w:val="20"/>
              </w:rPr>
            </w:pPr>
          </w:p>
        </w:tc>
        <w:tc>
          <w:tcPr>
            <w:tcW w:w="909" w:type="dxa"/>
          </w:tcPr>
          <w:p w14:paraId="434C888E" w14:textId="77777777" w:rsidR="004A07D3" w:rsidRPr="004A07D3" w:rsidRDefault="004A07D3" w:rsidP="004A07D3">
            <w:pPr>
              <w:spacing w:after="0" w:line="240" w:lineRule="auto"/>
              <w:rPr>
                <w:rFonts w:ascii="Times New Roman" w:hAnsi="Times New Roman"/>
                <w:sz w:val="20"/>
                <w:szCs w:val="20"/>
              </w:rPr>
            </w:pPr>
          </w:p>
        </w:tc>
        <w:tc>
          <w:tcPr>
            <w:tcW w:w="851" w:type="dxa"/>
          </w:tcPr>
          <w:p w14:paraId="6A1F88C0"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56CE0D6F"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39E63371"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4F5040E7"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0F5816D4" w14:textId="77777777" w:rsidTr="004A07D3">
        <w:trPr>
          <w:trHeight w:val="20"/>
        </w:trPr>
        <w:tc>
          <w:tcPr>
            <w:tcW w:w="475" w:type="dxa"/>
            <w:vMerge/>
            <w:shd w:val="clear" w:color="auto" w:fill="auto"/>
          </w:tcPr>
          <w:p w14:paraId="4EF7E0C2"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16764281"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51E2020A"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667515CB"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9</w:t>
            </w:r>
          </w:p>
        </w:tc>
        <w:tc>
          <w:tcPr>
            <w:tcW w:w="3261" w:type="dxa"/>
            <w:vAlign w:val="center"/>
          </w:tcPr>
          <w:p w14:paraId="34D1F69F" w14:textId="366310D3"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20"/>
              </w:rPr>
              <w:t>Среднеквадратическое значение шумов измерительной трассы при измерении модуля коэффициента отражения, дБ, в диапазонах частот свыше 10 МГц</w:t>
            </w:r>
          </w:p>
        </w:tc>
        <w:tc>
          <w:tcPr>
            <w:tcW w:w="2284" w:type="dxa"/>
          </w:tcPr>
          <w:p w14:paraId="75EEFE7C" w14:textId="77777777" w:rsidR="004A07D3" w:rsidRPr="004A07D3" w:rsidRDefault="004A07D3" w:rsidP="004A07D3">
            <w:pPr>
              <w:spacing w:after="0" w:line="240" w:lineRule="auto"/>
              <w:rPr>
                <w:rFonts w:ascii="Times New Roman" w:hAnsi="Times New Roman"/>
                <w:sz w:val="20"/>
                <w:szCs w:val="20"/>
              </w:rPr>
            </w:pPr>
          </w:p>
        </w:tc>
        <w:tc>
          <w:tcPr>
            <w:tcW w:w="909" w:type="dxa"/>
          </w:tcPr>
          <w:p w14:paraId="6CA5DB3F" w14:textId="77777777" w:rsidR="004A07D3" w:rsidRPr="004A07D3" w:rsidRDefault="004A07D3" w:rsidP="004A07D3">
            <w:pPr>
              <w:spacing w:after="0" w:line="240" w:lineRule="auto"/>
              <w:rPr>
                <w:rFonts w:ascii="Times New Roman" w:hAnsi="Times New Roman"/>
                <w:sz w:val="20"/>
                <w:szCs w:val="20"/>
              </w:rPr>
            </w:pPr>
          </w:p>
        </w:tc>
        <w:tc>
          <w:tcPr>
            <w:tcW w:w="851" w:type="dxa"/>
          </w:tcPr>
          <w:p w14:paraId="31D8F7FF"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6BAED211"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2CBDCD9D"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0885C80C"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6388A3AA" w14:textId="77777777" w:rsidTr="004A07D3">
        <w:trPr>
          <w:trHeight w:val="20"/>
        </w:trPr>
        <w:tc>
          <w:tcPr>
            <w:tcW w:w="475" w:type="dxa"/>
            <w:vMerge/>
            <w:shd w:val="clear" w:color="auto" w:fill="auto"/>
          </w:tcPr>
          <w:p w14:paraId="41708BC5"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15AEECB8"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72BC14C0"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3474F5A6"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10</w:t>
            </w:r>
          </w:p>
        </w:tc>
        <w:tc>
          <w:tcPr>
            <w:tcW w:w="3261" w:type="dxa"/>
            <w:vAlign w:val="center"/>
          </w:tcPr>
          <w:p w14:paraId="680EF731"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Пределы допускаемой относительной </w:t>
            </w:r>
            <w:proofErr w:type="gramStart"/>
            <w:r w:rsidRPr="00D554A7">
              <w:rPr>
                <w:rFonts w:ascii="Times New Roman" w:hAnsi="Times New Roman"/>
                <w:color w:val="000000"/>
                <w:sz w:val="18"/>
                <w:szCs w:val="20"/>
              </w:rPr>
              <w:t>погрешности измерений модуля/фазы коэффициента</w:t>
            </w:r>
            <w:proofErr w:type="gramEnd"/>
            <w:r w:rsidRPr="00D554A7">
              <w:rPr>
                <w:rFonts w:ascii="Times New Roman" w:hAnsi="Times New Roman"/>
                <w:color w:val="000000"/>
                <w:sz w:val="18"/>
                <w:szCs w:val="20"/>
              </w:rPr>
              <w:t xml:space="preserve"> отражения, дБ/градус, для диапазонов частот и модуля коэффициента отражения:</w:t>
            </w:r>
          </w:p>
          <w:p w14:paraId="212DF389"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от 100 кГц до 10 ГГц   от 0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15 дБ</w:t>
            </w:r>
          </w:p>
          <w:p w14:paraId="7AE49559"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менее минус 15 дБ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25 дБ</w:t>
            </w:r>
          </w:p>
          <w:p w14:paraId="2E427B95"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менее минус 25 дБ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35 дБ</w:t>
            </w:r>
          </w:p>
          <w:p w14:paraId="478BCD88"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от 10 ГГц до 20 ГГц    от 0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15 дБ</w:t>
            </w:r>
          </w:p>
          <w:p w14:paraId="5958C268" w14:textId="77777777" w:rsidR="00D554A7" w:rsidRPr="00D554A7" w:rsidRDefault="00D554A7" w:rsidP="00D554A7">
            <w:pPr>
              <w:spacing w:after="0" w:line="240" w:lineRule="auto"/>
              <w:rPr>
                <w:rFonts w:ascii="Times New Roman" w:hAnsi="Times New Roman"/>
                <w:color w:val="000000"/>
                <w:sz w:val="18"/>
                <w:szCs w:val="20"/>
              </w:rPr>
            </w:pPr>
            <w:r w:rsidRPr="00D554A7">
              <w:rPr>
                <w:rFonts w:ascii="Times New Roman" w:hAnsi="Times New Roman"/>
                <w:color w:val="000000"/>
                <w:sz w:val="18"/>
                <w:szCs w:val="20"/>
              </w:rPr>
              <w:t xml:space="preserve">менее минус 15 дБ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25 дБ</w:t>
            </w:r>
          </w:p>
          <w:p w14:paraId="0600AA5D" w14:textId="3D26EE1E" w:rsidR="004A07D3" w:rsidRPr="004A07D3" w:rsidRDefault="00D554A7" w:rsidP="00D554A7">
            <w:pPr>
              <w:spacing w:after="0" w:line="240" w:lineRule="auto"/>
              <w:rPr>
                <w:rFonts w:ascii="Times New Roman" w:hAnsi="Times New Roman"/>
                <w:sz w:val="20"/>
                <w:szCs w:val="20"/>
              </w:rPr>
            </w:pPr>
            <w:r w:rsidRPr="00D554A7">
              <w:rPr>
                <w:rFonts w:ascii="Times New Roman" w:hAnsi="Times New Roman"/>
                <w:color w:val="000000"/>
                <w:sz w:val="18"/>
                <w:szCs w:val="20"/>
              </w:rPr>
              <w:t xml:space="preserve">менее минус 25 дБ </w:t>
            </w:r>
            <w:proofErr w:type="gramStart"/>
            <w:r w:rsidRPr="00D554A7">
              <w:rPr>
                <w:rFonts w:ascii="Times New Roman" w:hAnsi="Times New Roman"/>
                <w:color w:val="000000"/>
                <w:sz w:val="18"/>
                <w:szCs w:val="20"/>
              </w:rPr>
              <w:t>до</w:t>
            </w:r>
            <w:proofErr w:type="gramEnd"/>
            <w:r w:rsidRPr="00D554A7">
              <w:rPr>
                <w:rFonts w:ascii="Times New Roman" w:hAnsi="Times New Roman"/>
                <w:color w:val="000000"/>
                <w:sz w:val="18"/>
                <w:szCs w:val="20"/>
              </w:rPr>
              <w:t xml:space="preserve"> </w:t>
            </w:r>
            <w:proofErr w:type="gramStart"/>
            <w:r w:rsidRPr="00D554A7">
              <w:rPr>
                <w:rFonts w:ascii="Times New Roman" w:hAnsi="Times New Roman"/>
                <w:color w:val="000000"/>
                <w:sz w:val="18"/>
                <w:szCs w:val="20"/>
              </w:rPr>
              <w:t>минус</w:t>
            </w:r>
            <w:proofErr w:type="gramEnd"/>
            <w:r w:rsidRPr="00D554A7">
              <w:rPr>
                <w:rFonts w:ascii="Times New Roman" w:hAnsi="Times New Roman"/>
                <w:color w:val="000000"/>
                <w:sz w:val="18"/>
                <w:szCs w:val="20"/>
              </w:rPr>
              <w:t xml:space="preserve"> 35 дБ</w:t>
            </w:r>
          </w:p>
        </w:tc>
        <w:tc>
          <w:tcPr>
            <w:tcW w:w="2284" w:type="dxa"/>
          </w:tcPr>
          <w:p w14:paraId="62946915" w14:textId="77777777" w:rsidR="004A07D3" w:rsidRPr="004A07D3" w:rsidRDefault="004A07D3" w:rsidP="004A07D3">
            <w:pPr>
              <w:spacing w:after="0" w:line="240" w:lineRule="auto"/>
              <w:rPr>
                <w:rFonts w:ascii="Times New Roman" w:hAnsi="Times New Roman"/>
                <w:sz w:val="20"/>
                <w:szCs w:val="20"/>
              </w:rPr>
            </w:pPr>
          </w:p>
        </w:tc>
        <w:tc>
          <w:tcPr>
            <w:tcW w:w="909" w:type="dxa"/>
          </w:tcPr>
          <w:p w14:paraId="7290266A" w14:textId="77777777" w:rsidR="004A07D3" w:rsidRPr="004A07D3" w:rsidRDefault="004A07D3" w:rsidP="004A07D3">
            <w:pPr>
              <w:spacing w:after="0" w:line="240" w:lineRule="auto"/>
              <w:rPr>
                <w:rFonts w:ascii="Times New Roman" w:hAnsi="Times New Roman"/>
                <w:sz w:val="20"/>
                <w:szCs w:val="20"/>
              </w:rPr>
            </w:pPr>
          </w:p>
        </w:tc>
        <w:tc>
          <w:tcPr>
            <w:tcW w:w="851" w:type="dxa"/>
          </w:tcPr>
          <w:p w14:paraId="1F1E9DE8"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749C883F"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3423D738"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5E043C42"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25B82F3B" w14:textId="77777777" w:rsidTr="004A07D3">
        <w:trPr>
          <w:trHeight w:val="20"/>
        </w:trPr>
        <w:tc>
          <w:tcPr>
            <w:tcW w:w="475" w:type="dxa"/>
            <w:vMerge/>
            <w:shd w:val="clear" w:color="auto" w:fill="auto"/>
          </w:tcPr>
          <w:p w14:paraId="0BFB9BFC"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4E9BC340"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489E4AA3"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7BA227A0"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11</w:t>
            </w:r>
          </w:p>
        </w:tc>
        <w:tc>
          <w:tcPr>
            <w:tcW w:w="3261" w:type="dxa"/>
            <w:vAlign w:val="center"/>
          </w:tcPr>
          <w:p w14:paraId="70926213"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 xml:space="preserve">Пределы допускаемой абсолютной </w:t>
            </w:r>
            <w:proofErr w:type="gramStart"/>
            <w:r w:rsidRPr="00D554A7">
              <w:rPr>
                <w:rFonts w:ascii="Times New Roman" w:hAnsi="Times New Roman"/>
                <w:color w:val="000000"/>
                <w:sz w:val="18"/>
                <w:szCs w:val="18"/>
              </w:rPr>
              <w:t>погрешности измерений модуля /фазы коэффициента</w:t>
            </w:r>
            <w:proofErr w:type="gramEnd"/>
            <w:r w:rsidRPr="00D554A7">
              <w:rPr>
                <w:rFonts w:ascii="Times New Roman" w:hAnsi="Times New Roman"/>
                <w:color w:val="000000"/>
                <w:sz w:val="18"/>
                <w:szCs w:val="18"/>
              </w:rPr>
              <w:t xml:space="preserve"> передачи, дБ/градус, для диапазонов частот и диапазонов модуля коэффициента передачи:</w:t>
            </w:r>
          </w:p>
          <w:p w14:paraId="3AC958A8"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100 кГц до 1 МГц   от 0 доминус35 дБ</w:t>
            </w:r>
          </w:p>
          <w:p w14:paraId="595AF222"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менее минус 35дБ доминус50 дБ</w:t>
            </w:r>
          </w:p>
          <w:p w14:paraId="1107D8AC"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lastRenderedPageBreak/>
              <w:t>менее минус 50 дБ доминус60 дБ</w:t>
            </w:r>
          </w:p>
          <w:p w14:paraId="750FFB8C"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 МГц до 10 ГГц   от 0 доминус35 дБ</w:t>
            </w:r>
          </w:p>
          <w:p w14:paraId="01322B7D"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менее минус 35 дБ доминус50 дБ</w:t>
            </w:r>
          </w:p>
          <w:p w14:paraId="7CBB1706"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менее минус 50 дБ доминус60 дБ</w:t>
            </w:r>
          </w:p>
          <w:p w14:paraId="306F3F5D"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от 10 ГГц до 20 ГГц    от 0 доминус35 дБ</w:t>
            </w:r>
          </w:p>
          <w:p w14:paraId="36DE8D4E" w14:textId="77777777" w:rsidR="00D554A7" w:rsidRPr="00D554A7" w:rsidRDefault="00D554A7" w:rsidP="00D554A7">
            <w:pPr>
              <w:spacing w:after="0" w:line="240" w:lineRule="auto"/>
              <w:rPr>
                <w:rFonts w:ascii="Times New Roman" w:hAnsi="Times New Roman"/>
                <w:color w:val="000000"/>
                <w:sz w:val="18"/>
                <w:szCs w:val="18"/>
              </w:rPr>
            </w:pPr>
            <w:r w:rsidRPr="00D554A7">
              <w:rPr>
                <w:rFonts w:ascii="Times New Roman" w:hAnsi="Times New Roman"/>
                <w:color w:val="000000"/>
                <w:sz w:val="18"/>
                <w:szCs w:val="18"/>
              </w:rPr>
              <w:t>менее минус 35 дБ доминус50 дБ</w:t>
            </w:r>
          </w:p>
          <w:p w14:paraId="16D73238" w14:textId="12DFBDDC" w:rsidR="004A07D3" w:rsidRPr="004A07D3" w:rsidRDefault="00D554A7" w:rsidP="00D554A7">
            <w:pPr>
              <w:spacing w:after="0" w:line="240" w:lineRule="auto"/>
              <w:rPr>
                <w:rFonts w:ascii="Times New Roman" w:hAnsi="Times New Roman"/>
                <w:sz w:val="20"/>
                <w:szCs w:val="20"/>
              </w:rPr>
            </w:pPr>
            <w:r w:rsidRPr="00D554A7">
              <w:rPr>
                <w:rFonts w:ascii="Times New Roman" w:hAnsi="Times New Roman"/>
                <w:color w:val="000000"/>
                <w:sz w:val="18"/>
                <w:szCs w:val="18"/>
              </w:rPr>
              <w:t>менее минус 50 дБ доминус60 дБ</w:t>
            </w:r>
          </w:p>
        </w:tc>
        <w:tc>
          <w:tcPr>
            <w:tcW w:w="2284" w:type="dxa"/>
          </w:tcPr>
          <w:p w14:paraId="58AE4304" w14:textId="77777777" w:rsidR="004A07D3" w:rsidRPr="004A07D3" w:rsidRDefault="004A07D3" w:rsidP="004A07D3">
            <w:pPr>
              <w:spacing w:after="0" w:line="240" w:lineRule="auto"/>
              <w:rPr>
                <w:rFonts w:ascii="Times New Roman" w:hAnsi="Times New Roman"/>
                <w:sz w:val="20"/>
                <w:szCs w:val="20"/>
              </w:rPr>
            </w:pPr>
          </w:p>
        </w:tc>
        <w:tc>
          <w:tcPr>
            <w:tcW w:w="909" w:type="dxa"/>
          </w:tcPr>
          <w:p w14:paraId="304DE4E5" w14:textId="77777777" w:rsidR="004A07D3" w:rsidRPr="004A07D3" w:rsidRDefault="004A07D3" w:rsidP="004A07D3">
            <w:pPr>
              <w:spacing w:after="0" w:line="240" w:lineRule="auto"/>
              <w:rPr>
                <w:rFonts w:ascii="Times New Roman" w:hAnsi="Times New Roman"/>
                <w:sz w:val="20"/>
                <w:szCs w:val="20"/>
              </w:rPr>
            </w:pPr>
          </w:p>
        </w:tc>
        <w:tc>
          <w:tcPr>
            <w:tcW w:w="851" w:type="dxa"/>
          </w:tcPr>
          <w:p w14:paraId="3752E302"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01DB97F3"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6060FF0C"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04254AEE"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44E71EB7" w14:textId="77777777" w:rsidTr="004A07D3">
        <w:trPr>
          <w:trHeight w:val="20"/>
        </w:trPr>
        <w:tc>
          <w:tcPr>
            <w:tcW w:w="475" w:type="dxa"/>
            <w:vMerge/>
            <w:shd w:val="clear" w:color="auto" w:fill="auto"/>
          </w:tcPr>
          <w:p w14:paraId="25F8A8B3"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4F6CB2B1"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18101E13"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3D5E765A"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12</w:t>
            </w:r>
          </w:p>
        </w:tc>
        <w:tc>
          <w:tcPr>
            <w:tcW w:w="3261" w:type="dxa"/>
            <w:vAlign w:val="center"/>
          </w:tcPr>
          <w:p w14:paraId="6BEF1E0E" w14:textId="2843E6F2"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18"/>
              </w:rPr>
              <w:t>Опция второй синтезатор</w:t>
            </w:r>
          </w:p>
        </w:tc>
        <w:tc>
          <w:tcPr>
            <w:tcW w:w="2284" w:type="dxa"/>
          </w:tcPr>
          <w:p w14:paraId="4F60E43D" w14:textId="77777777" w:rsidR="004A07D3" w:rsidRPr="004A07D3" w:rsidRDefault="004A07D3" w:rsidP="004A07D3">
            <w:pPr>
              <w:spacing w:after="0" w:line="240" w:lineRule="auto"/>
              <w:jc w:val="center"/>
              <w:rPr>
                <w:rFonts w:ascii="Times New Roman" w:hAnsi="Times New Roman"/>
                <w:sz w:val="20"/>
                <w:szCs w:val="20"/>
              </w:rPr>
            </w:pPr>
            <w:r w:rsidRPr="004A07D3">
              <w:rPr>
                <w:rFonts w:ascii="Times New Roman" w:hAnsi="Times New Roman"/>
                <w:sz w:val="20"/>
                <w:szCs w:val="20"/>
              </w:rPr>
              <w:t>---</w:t>
            </w:r>
          </w:p>
        </w:tc>
        <w:tc>
          <w:tcPr>
            <w:tcW w:w="909" w:type="dxa"/>
          </w:tcPr>
          <w:p w14:paraId="5320DA3E" w14:textId="77777777" w:rsidR="004A07D3" w:rsidRPr="004A07D3" w:rsidRDefault="004A07D3" w:rsidP="004A07D3">
            <w:pPr>
              <w:spacing w:after="0" w:line="240" w:lineRule="auto"/>
              <w:rPr>
                <w:rFonts w:ascii="Times New Roman" w:hAnsi="Times New Roman"/>
                <w:sz w:val="20"/>
                <w:szCs w:val="20"/>
              </w:rPr>
            </w:pPr>
          </w:p>
        </w:tc>
        <w:tc>
          <w:tcPr>
            <w:tcW w:w="851" w:type="dxa"/>
          </w:tcPr>
          <w:p w14:paraId="2E614D73"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65E4EED8"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1AABCBE8"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4BBA4B49"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1B3DF9C8" w14:textId="77777777" w:rsidTr="004A07D3">
        <w:trPr>
          <w:trHeight w:val="20"/>
        </w:trPr>
        <w:tc>
          <w:tcPr>
            <w:tcW w:w="475" w:type="dxa"/>
            <w:vMerge/>
            <w:shd w:val="clear" w:color="auto" w:fill="auto"/>
          </w:tcPr>
          <w:p w14:paraId="100A9DC8"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0253C8B1"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6346E944"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326FD409"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13</w:t>
            </w:r>
          </w:p>
        </w:tc>
        <w:tc>
          <w:tcPr>
            <w:tcW w:w="3261" w:type="dxa"/>
            <w:vAlign w:val="center"/>
          </w:tcPr>
          <w:p w14:paraId="07263131" w14:textId="2A137E96"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18"/>
              </w:rPr>
              <w:t>Опция частотного преобразования в диапазоне частот</w:t>
            </w:r>
          </w:p>
        </w:tc>
        <w:tc>
          <w:tcPr>
            <w:tcW w:w="2284" w:type="dxa"/>
          </w:tcPr>
          <w:p w14:paraId="5F39E90F" w14:textId="77777777" w:rsidR="004A07D3" w:rsidRPr="004A07D3" w:rsidRDefault="004A07D3" w:rsidP="004A07D3">
            <w:pPr>
              <w:spacing w:after="0" w:line="240" w:lineRule="auto"/>
              <w:rPr>
                <w:rFonts w:ascii="Times New Roman" w:hAnsi="Times New Roman"/>
                <w:sz w:val="20"/>
                <w:szCs w:val="20"/>
              </w:rPr>
            </w:pPr>
          </w:p>
        </w:tc>
        <w:tc>
          <w:tcPr>
            <w:tcW w:w="909" w:type="dxa"/>
          </w:tcPr>
          <w:p w14:paraId="4BAED07F" w14:textId="77777777" w:rsidR="004A07D3" w:rsidRPr="004A07D3" w:rsidRDefault="004A07D3" w:rsidP="004A07D3">
            <w:pPr>
              <w:spacing w:after="0" w:line="240" w:lineRule="auto"/>
              <w:rPr>
                <w:rFonts w:ascii="Times New Roman" w:hAnsi="Times New Roman"/>
                <w:sz w:val="20"/>
                <w:szCs w:val="20"/>
              </w:rPr>
            </w:pPr>
          </w:p>
        </w:tc>
        <w:tc>
          <w:tcPr>
            <w:tcW w:w="851" w:type="dxa"/>
          </w:tcPr>
          <w:p w14:paraId="0C816F22"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5C911A68"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45AEE451"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6179DDC7"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09DE3433" w14:textId="77777777" w:rsidTr="004A07D3">
        <w:trPr>
          <w:trHeight w:val="20"/>
        </w:trPr>
        <w:tc>
          <w:tcPr>
            <w:tcW w:w="475" w:type="dxa"/>
            <w:vMerge/>
            <w:shd w:val="clear" w:color="auto" w:fill="auto"/>
          </w:tcPr>
          <w:p w14:paraId="33A42302"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3ADFC3CA"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356701D6"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4BBE4655"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14</w:t>
            </w:r>
          </w:p>
        </w:tc>
        <w:tc>
          <w:tcPr>
            <w:tcW w:w="3261" w:type="dxa"/>
            <w:vAlign w:val="center"/>
          </w:tcPr>
          <w:p w14:paraId="5D9D11AE" w14:textId="7E9710ED"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18"/>
              </w:rPr>
              <w:t>Напряжение питания от сети переменного тока, частотой (50±1) Гц, с номинальным значением</w:t>
            </w:r>
          </w:p>
        </w:tc>
        <w:tc>
          <w:tcPr>
            <w:tcW w:w="2284" w:type="dxa"/>
          </w:tcPr>
          <w:p w14:paraId="6DBC2224" w14:textId="77777777" w:rsidR="004A07D3" w:rsidRPr="004A07D3" w:rsidRDefault="004A07D3" w:rsidP="004A07D3">
            <w:pPr>
              <w:spacing w:after="0" w:line="240" w:lineRule="auto"/>
              <w:jc w:val="center"/>
              <w:rPr>
                <w:rFonts w:ascii="Times New Roman" w:hAnsi="Times New Roman"/>
                <w:sz w:val="20"/>
                <w:szCs w:val="20"/>
              </w:rPr>
            </w:pPr>
            <w:r w:rsidRPr="004A07D3">
              <w:rPr>
                <w:rFonts w:ascii="Times New Roman" w:hAnsi="Times New Roman"/>
                <w:sz w:val="20"/>
                <w:szCs w:val="20"/>
              </w:rPr>
              <w:t>---</w:t>
            </w:r>
          </w:p>
        </w:tc>
        <w:tc>
          <w:tcPr>
            <w:tcW w:w="909" w:type="dxa"/>
          </w:tcPr>
          <w:p w14:paraId="6576A86D" w14:textId="77777777" w:rsidR="004A07D3" w:rsidRPr="004A07D3" w:rsidRDefault="004A07D3" w:rsidP="004A07D3">
            <w:pPr>
              <w:spacing w:after="0" w:line="240" w:lineRule="auto"/>
              <w:rPr>
                <w:rFonts w:ascii="Times New Roman" w:hAnsi="Times New Roman"/>
                <w:sz w:val="20"/>
                <w:szCs w:val="20"/>
              </w:rPr>
            </w:pPr>
          </w:p>
        </w:tc>
        <w:tc>
          <w:tcPr>
            <w:tcW w:w="851" w:type="dxa"/>
          </w:tcPr>
          <w:p w14:paraId="14284647"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681CBBC0"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315BAA2A"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249BD8F0"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0851EE35" w14:textId="77777777" w:rsidTr="004A07D3">
        <w:trPr>
          <w:trHeight w:val="20"/>
        </w:trPr>
        <w:tc>
          <w:tcPr>
            <w:tcW w:w="475" w:type="dxa"/>
            <w:vMerge/>
            <w:shd w:val="clear" w:color="auto" w:fill="auto"/>
          </w:tcPr>
          <w:p w14:paraId="36848B7A"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15E79BB1"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714C9D01"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2330290D"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15</w:t>
            </w:r>
          </w:p>
        </w:tc>
        <w:tc>
          <w:tcPr>
            <w:tcW w:w="3261" w:type="dxa"/>
            <w:vAlign w:val="center"/>
          </w:tcPr>
          <w:p w14:paraId="09A38A9A" w14:textId="06D99B78"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18"/>
              </w:rPr>
              <w:t>Потребляемая мощность</w:t>
            </w:r>
          </w:p>
        </w:tc>
        <w:tc>
          <w:tcPr>
            <w:tcW w:w="2284" w:type="dxa"/>
          </w:tcPr>
          <w:p w14:paraId="6208F63B" w14:textId="77777777" w:rsidR="004A07D3" w:rsidRPr="004A07D3" w:rsidRDefault="004A07D3" w:rsidP="004A07D3">
            <w:pPr>
              <w:spacing w:after="0" w:line="240" w:lineRule="auto"/>
              <w:rPr>
                <w:rFonts w:ascii="Times New Roman" w:hAnsi="Times New Roman"/>
                <w:sz w:val="20"/>
                <w:szCs w:val="20"/>
              </w:rPr>
            </w:pPr>
          </w:p>
        </w:tc>
        <w:tc>
          <w:tcPr>
            <w:tcW w:w="909" w:type="dxa"/>
          </w:tcPr>
          <w:p w14:paraId="0CDB2FCC" w14:textId="77777777" w:rsidR="004A07D3" w:rsidRPr="004A07D3" w:rsidRDefault="004A07D3" w:rsidP="004A07D3">
            <w:pPr>
              <w:spacing w:after="0" w:line="240" w:lineRule="auto"/>
              <w:rPr>
                <w:rFonts w:ascii="Times New Roman" w:hAnsi="Times New Roman"/>
                <w:sz w:val="20"/>
                <w:szCs w:val="20"/>
              </w:rPr>
            </w:pPr>
          </w:p>
        </w:tc>
        <w:tc>
          <w:tcPr>
            <w:tcW w:w="851" w:type="dxa"/>
          </w:tcPr>
          <w:p w14:paraId="4FC549F9"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5EB3BD62"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30752FF8"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1ABE0EFE" w14:textId="77777777" w:rsidR="004A07D3" w:rsidRPr="004A07D3" w:rsidRDefault="004A07D3" w:rsidP="004A07D3">
            <w:pPr>
              <w:spacing w:after="0" w:line="240" w:lineRule="auto"/>
              <w:rPr>
                <w:rFonts w:ascii="Times New Roman" w:hAnsi="Times New Roman"/>
                <w:sz w:val="20"/>
                <w:szCs w:val="20"/>
              </w:rPr>
            </w:pPr>
          </w:p>
        </w:tc>
      </w:tr>
      <w:tr w:rsidR="004A07D3" w:rsidRPr="004A07D3" w14:paraId="504C6AC6" w14:textId="77777777" w:rsidTr="004A07D3">
        <w:trPr>
          <w:trHeight w:val="20"/>
        </w:trPr>
        <w:tc>
          <w:tcPr>
            <w:tcW w:w="475" w:type="dxa"/>
            <w:vMerge/>
            <w:shd w:val="clear" w:color="auto" w:fill="auto"/>
          </w:tcPr>
          <w:p w14:paraId="4A2C291E" w14:textId="77777777" w:rsidR="004A07D3" w:rsidRPr="004A07D3" w:rsidRDefault="004A07D3" w:rsidP="004A07D3">
            <w:pPr>
              <w:spacing w:after="0" w:line="240" w:lineRule="auto"/>
              <w:rPr>
                <w:rFonts w:ascii="Times New Roman" w:hAnsi="Times New Roman"/>
                <w:sz w:val="20"/>
                <w:szCs w:val="20"/>
              </w:rPr>
            </w:pPr>
          </w:p>
        </w:tc>
        <w:tc>
          <w:tcPr>
            <w:tcW w:w="2218" w:type="dxa"/>
            <w:vMerge/>
          </w:tcPr>
          <w:p w14:paraId="1B3230C7" w14:textId="77777777" w:rsidR="004A07D3" w:rsidRPr="004A07D3" w:rsidRDefault="004A07D3" w:rsidP="004A07D3">
            <w:pPr>
              <w:spacing w:after="0" w:line="240" w:lineRule="auto"/>
              <w:rPr>
                <w:rFonts w:ascii="Times New Roman" w:hAnsi="Times New Roman"/>
                <w:sz w:val="20"/>
                <w:szCs w:val="20"/>
              </w:rPr>
            </w:pPr>
          </w:p>
        </w:tc>
        <w:tc>
          <w:tcPr>
            <w:tcW w:w="1658" w:type="dxa"/>
            <w:vMerge/>
            <w:shd w:val="clear" w:color="auto" w:fill="auto"/>
          </w:tcPr>
          <w:p w14:paraId="6F8603B4" w14:textId="77777777" w:rsidR="004A07D3" w:rsidRPr="004A07D3" w:rsidRDefault="004A07D3" w:rsidP="004A07D3">
            <w:pPr>
              <w:spacing w:after="0" w:line="240" w:lineRule="auto"/>
              <w:rPr>
                <w:rFonts w:ascii="Times New Roman" w:hAnsi="Times New Roman"/>
                <w:sz w:val="20"/>
                <w:szCs w:val="20"/>
              </w:rPr>
            </w:pPr>
          </w:p>
        </w:tc>
        <w:tc>
          <w:tcPr>
            <w:tcW w:w="781" w:type="dxa"/>
            <w:vAlign w:val="center"/>
          </w:tcPr>
          <w:p w14:paraId="03490030"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16</w:t>
            </w:r>
          </w:p>
        </w:tc>
        <w:tc>
          <w:tcPr>
            <w:tcW w:w="3261" w:type="dxa"/>
            <w:vAlign w:val="center"/>
          </w:tcPr>
          <w:p w14:paraId="2298E537" w14:textId="600EEFC6" w:rsidR="004A07D3" w:rsidRPr="004A07D3" w:rsidRDefault="00D554A7" w:rsidP="004A07D3">
            <w:pPr>
              <w:spacing w:after="0" w:line="240" w:lineRule="auto"/>
              <w:rPr>
                <w:rFonts w:ascii="Times New Roman" w:hAnsi="Times New Roman"/>
                <w:sz w:val="20"/>
                <w:szCs w:val="20"/>
              </w:rPr>
            </w:pPr>
            <w:r w:rsidRPr="00D554A7">
              <w:rPr>
                <w:rFonts w:ascii="Times New Roman" w:hAnsi="Times New Roman"/>
                <w:color w:val="000000"/>
                <w:sz w:val="18"/>
                <w:szCs w:val="18"/>
              </w:rPr>
              <w:t xml:space="preserve">Масса измерительного блока, </w:t>
            </w:r>
            <w:proofErr w:type="gramStart"/>
            <w:r w:rsidRPr="00D554A7">
              <w:rPr>
                <w:rFonts w:ascii="Times New Roman" w:hAnsi="Times New Roman"/>
                <w:color w:val="000000"/>
                <w:sz w:val="18"/>
                <w:szCs w:val="18"/>
              </w:rPr>
              <w:t>кг</w:t>
            </w:r>
            <w:proofErr w:type="gramEnd"/>
            <w:r w:rsidRPr="00D554A7">
              <w:rPr>
                <w:rFonts w:ascii="Times New Roman" w:hAnsi="Times New Roman"/>
                <w:color w:val="000000"/>
                <w:sz w:val="18"/>
                <w:szCs w:val="18"/>
              </w:rPr>
              <w:t>,</w:t>
            </w:r>
          </w:p>
        </w:tc>
        <w:tc>
          <w:tcPr>
            <w:tcW w:w="2284" w:type="dxa"/>
          </w:tcPr>
          <w:p w14:paraId="5E9E362A" w14:textId="77777777" w:rsidR="004A07D3" w:rsidRPr="004A07D3" w:rsidRDefault="004A07D3" w:rsidP="004A07D3">
            <w:pPr>
              <w:spacing w:after="0" w:line="240" w:lineRule="auto"/>
              <w:rPr>
                <w:rFonts w:ascii="Times New Roman" w:hAnsi="Times New Roman"/>
                <w:sz w:val="20"/>
                <w:szCs w:val="20"/>
              </w:rPr>
            </w:pPr>
            <w:r w:rsidRPr="004A07D3">
              <w:rPr>
                <w:rFonts w:ascii="Times New Roman" w:hAnsi="Times New Roman"/>
                <w:sz w:val="20"/>
                <w:szCs w:val="20"/>
              </w:rPr>
              <w:t>---</w:t>
            </w:r>
          </w:p>
        </w:tc>
        <w:tc>
          <w:tcPr>
            <w:tcW w:w="909" w:type="dxa"/>
          </w:tcPr>
          <w:p w14:paraId="7690C92A" w14:textId="77777777" w:rsidR="004A07D3" w:rsidRPr="004A07D3" w:rsidRDefault="004A07D3" w:rsidP="004A07D3">
            <w:pPr>
              <w:spacing w:after="0" w:line="240" w:lineRule="auto"/>
              <w:rPr>
                <w:rFonts w:ascii="Times New Roman" w:hAnsi="Times New Roman"/>
                <w:sz w:val="20"/>
                <w:szCs w:val="20"/>
              </w:rPr>
            </w:pPr>
          </w:p>
        </w:tc>
        <w:tc>
          <w:tcPr>
            <w:tcW w:w="851" w:type="dxa"/>
          </w:tcPr>
          <w:p w14:paraId="2B823D48" w14:textId="77777777" w:rsidR="004A07D3" w:rsidRPr="004A07D3" w:rsidRDefault="004A07D3" w:rsidP="004A07D3">
            <w:pPr>
              <w:spacing w:after="0" w:line="240" w:lineRule="auto"/>
              <w:rPr>
                <w:rFonts w:ascii="Times New Roman" w:hAnsi="Times New Roman"/>
                <w:sz w:val="20"/>
                <w:szCs w:val="20"/>
              </w:rPr>
            </w:pPr>
          </w:p>
        </w:tc>
        <w:tc>
          <w:tcPr>
            <w:tcW w:w="1134" w:type="dxa"/>
          </w:tcPr>
          <w:p w14:paraId="3E75B1B9" w14:textId="77777777" w:rsidR="004A07D3" w:rsidRPr="004A07D3" w:rsidRDefault="004A07D3" w:rsidP="004A07D3">
            <w:pPr>
              <w:spacing w:after="0" w:line="240" w:lineRule="auto"/>
              <w:rPr>
                <w:rFonts w:ascii="Times New Roman" w:hAnsi="Times New Roman"/>
                <w:sz w:val="20"/>
                <w:szCs w:val="20"/>
              </w:rPr>
            </w:pPr>
          </w:p>
        </w:tc>
        <w:tc>
          <w:tcPr>
            <w:tcW w:w="775" w:type="dxa"/>
            <w:vMerge/>
          </w:tcPr>
          <w:p w14:paraId="442FD362" w14:textId="77777777" w:rsidR="004A07D3" w:rsidRPr="004A07D3" w:rsidRDefault="004A07D3" w:rsidP="004A07D3">
            <w:pPr>
              <w:spacing w:after="0" w:line="240" w:lineRule="auto"/>
              <w:rPr>
                <w:rFonts w:ascii="Times New Roman" w:hAnsi="Times New Roman"/>
                <w:sz w:val="20"/>
                <w:szCs w:val="20"/>
              </w:rPr>
            </w:pPr>
          </w:p>
        </w:tc>
        <w:tc>
          <w:tcPr>
            <w:tcW w:w="601" w:type="dxa"/>
            <w:vMerge/>
          </w:tcPr>
          <w:p w14:paraId="79CD33E2" w14:textId="77777777" w:rsidR="004A07D3" w:rsidRPr="004A07D3" w:rsidRDefault="004A07D3" w:rsidP="004A07D3">
            <w:pPr>
              <w:spacing w:after="0" w:line="240" w:lineRule="auto"/>
              <w:rPr>
                <w:rFonts w:ascii="Times New Roman" w:hAnsi="Times New Roman"/>
                <w:sz w:val="20"/>
                <w:szCs w:val="20"/>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3"/>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sidRPr="00E067B5">
        <w:rPr>
          <w:rFonts w:ascii="Times New Roman" w:hAnsi="Times New Roman"/>
          <w:sz w:val="20"/>
          <w:szCs w:val="20"/>
        </w:rPr>
        <w:t>которая</w:t>
      </w:r>
      <w:proofErr w:type="gramEnd"/>
      <w:r w:rsidRPr="00E067B5">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4A07D3">
          <w:pgSz w:w="16838" w:h="11906" w:orient="landscape"/>
          <w:pgMar w:top="1418" w:right="1134" w:bottom="709" w:left="851"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17C647F4"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F00F68">
        <w:rPr>
          <w:rFonts w:ascii="Times New Roman" w:hAnsi="Times New Roman"/>
          <w:sz w:val="20"/>
          <w:szCs w:val="20"/>
        </w:rPr>
        <w:t>378</w:t>
      </w:r>
      <w:r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roofErr w:type="gramEnd"/>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47F7ACF6"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«0605-2022-00378</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D5750E">
      <w:headerReference w:type="default" r:id="rId13"/>
      <w:footerReference w:type="default" r:id="rId14"/>
      <w:pgSz w:w="16838" w:h="11906" w:orient="landscape"/>
      <w:pgMar w:top="1418" w:right="113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B31DDE" w:rsidRDefault="00B31DDE" w:rsidP="00BE4551">
      <w:pPr>
        <w:spacing w:after="0" w:line="240" w:lineRule="auto"/>
      </w:pPr>
      <w:r>
        <w:separator/>
      </w:r>
    </w:p>
  </w:endnote>
  <w:endnote w:type="continuationSeparator" w:id="0">
    <w:p w14:paraId="71BFBD20" w14:textId="77777777" w:rsidR="00B31DDE" w:rsidRDefault="00B31DDE" w:rsidP="00BE4551">
      <w:pPr>
        <w:spacing w:after="0" w:line="240" w:lineRule="auto"/>
      </w:pPr>
      <w:r>
        <w:continuationSeparator/>
      </w:r>
    </w:p>
  </w:endnote>
  <w:endnote w:type="continuationNotice" w:id="1">
    <w:p w14:paraId="715BEE7D" w14:textId="77777777" w:rsidR="00B31DDE" w:rsidRDefault="00B31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B31DDE" w:rsidRDefault="00B31DDE" w:rsidP="00773C33">
            <w:pPr>
              <w:pStyle w:val="aff6"/>
              <w:jc w:val="right"/>
            </w:pPr>
            <w:r w:rsidRPr="00773C33">
              <w:rPr>
                <w:bCs/>
              </w:rPr>
              <w:fldChar w:fldCharType="begin"/>
            </w:r>
            <w:r w:rsidRPr="00773C33">
              <w:rPr>
                <w:bCs/>
              </w:rPr>
              <w:instrText>PAGE</w:instrText>
            </w:r>
            <w:r w:rsidRPr="00773C33">
              <w:rPr>
                <w:bCs/>
              </w:rPr>
              <w:fldChar w:fldCharType="separate"/>
            </w:r>
            <w:r w:rsidR="0013449D">
              <w:rPr>
                <w:bCs/>
                <w:noProof/>
              </w:rPr>
              <w:t>32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B31DDE" w:rsidRPr="005B6108" w:rsidRDefault="00B31DDE"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3449D">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B31DDE" w:rsidRPr="00744924" w:rsidRDefault="00B31DDE" w:rsidP="00744924">
            <w:pPr>
              <w:pStyle w:val="aff6"/>
              <w:jc w:val="right"/>
            </w:pPr>
            <w:r w:rsidRPr="00756D44">
              <w:rPr>
                <w:bCs/>
              </w:rPr>
              <w:fldChar w:fldCharType="begin"/>
            </w:r>
            <w:r w:rsidRPr="00756D44">
              <w:rPr>
                <w:bCs/>
              </w:rPr>
              <w:instrText>PAGE</w:instrText>
            </w:r>
            <w:r w:rsidRPr="00756D44">
              <w:rPr>
                <w:bCs/>
              </w:rPr>
              <w:fldChar w:fldCharType="separate"/>
            </w:r>
            <w:r w:rsidR="0013449D">
              <w:rPr>
                <w:bCs/>
                <w:noProof/>
              </w:rPr>
              <w:t>54</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B31DDE" w:rsidRDefault="00B31DDE" w:rsidP="00BE4551">
      <w:pPr>
        <w:spacing w:after="0" w:line="240" w:lineRule="auto"/>
      </w:pPr>
      <w:r>
        <w:separator/>
      </w:r>
    </w:p>
  </w:footnote>
  <w:footnote w:type="continuationSeparator" w:id="0">
    <w:p w14:paraId="1F107422" w14:textId="77777777" w:rsidR="00B31DDE" w:rsidRDefault="00B31DDE" w:rsidP="00BE4551">
      <w:pPr>
        <w:spacing w:after="0" w:line="240" w:lineRule="auto"/>
      </w:pPr>
      <w:r>
        <w:continuationSeparator/>
      </w:r>
    </w:p>
  </w:footnote>
  <w:footnote w:type="continuationNotice" w:id="1">
    <w:p w14:paraId="2CDE0C76" w14:textId="77777777" w:rsidR="00B31DDE" w:rsidRDefault="00B31DDE">
      <w:pPr>
        <w:spacing w:after="0" w:line="240" w:lineRule="auto"/>
      </w:pPr>
    </w:p>
  </w:footnote>
  <w:footnote w:id="2">
    <w:p w14:paraId="43BE838B" w14:textId="77777777" w:rsidR="00B31DDE" w:rsidRPr="00AF5638" w:rsidRDefault="00B31DDE"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B31DDE" w:rsidRDefault="00B31DDE"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B31DDE" w:rsidRPr="0061579A" w:rsidRDefault="00B31DDE">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B31DDE" w:rsidRPr="00766DF6" w:rsidRDefault="00B31DDE"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B31DDE" w:rsidRDefault="00B31DDE" w:rsidP="004A07D3">
      <w:pPr>
        <w:pStyle w:val="affff"/>
      </w:pPr>
      <w:r w:rsidRPr="00766DF6">
        <w:rPr>
          <w:rStyle w:val="affc"/>
          <w:sz w:val="16"/>
          <w:szCs w:val="16"/>
        </w:rPr>
        <w:footnoteRef/>
      </w:r>
      <w:r w:rsidRPr="00766DF6">
        <w:rPr>
          <w:sz w:val="16"/>
          <w:szCs w:val="16"/>
        </w:rPr>
        <w:t xml:space="preserve"> Если применимо</w:t>
      </w:r>
    </w:p>
  </w:footnote>
  <w:footnote w:id="7">
    <w:p w14:paraId="3246DEE2" w14:textId="77777777" w:rsidR="00B31DDE" w:rsidRDefault="00B31DDE" w:rsidP="004A07D3">
      <w:pPr>
        <w:pStyle w:val="affff"/>
      </w:pPr>
      <w:r w:rsidRPr="00350134">
        <w:rPr>
          <w:rStyle w:val="affc"/>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8">
    <w:p w14:paraId="63E15AB8" w14:textId="77777777" w:rsidR="00B31DDE" w:rsidRDefault="00B31DDE" w:rsidP="004A07D3">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57621DC8"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6A1D72CC"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06C9E098"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09B9CA97"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379DAC24"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6E1BE24" w14:textId="77777777" w:rsidR="00B31DDE" w:rsidRPr="002F0B47" w:rsidRDefault="00B31DDE" w:rsidP="004A07D3">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0D48357C" w14:textId="77777777" w:rsidR="00B31DDE" w:rsidRPr="00350134" w:rsidRDefault="00B31DDE" w:rsidP="004A07D3">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263897B0" w14:textId="77777777" w:rsidR="00B31DDE" w:rsidRPr="00350134" w:rsidRDefault="00B31DDE" w:rsidP="004A07D3">
      <w:pPr>
        <w:pStyle w:val="affff"/>
      </w:pPr>
      <w:r w:rsidRPr="00350134">
        <w:rPr>
          <w:rStyle w:val="affc"/>
        </w:rPr>
        <w:footnoteRef/>
      </w:r>
      <w:r w:rsidRPr="00350134">
        <w:rPr>
          <w:rFonts w:eastAsiaTheme="minorHAnsi"/>
          <w:bCs/>
          <w:iCs/>
          <w:snapToGrid w:val="0"/>
          <w:sz w:val="20"/>
          <w:lang w:eastAsia="en-US"/>
        </w:rPr>
        <w:t xml:space="preserve"> </w:t>
      </w:r>
      <w:r w:rsidRPr="00350134">
        <w:rPr>
          <w:color w:val="000000"/>
          <w:sz w:val="20"/>
          <w:szCs w:val="22"/>
        </w:rPr>
        <w:t>В случае</w:t>
      </w:r>
      <w:proofErr w:type="gramStart"/>
      <w:r w:rsidRPr="00350134">
        <w:rPr>
          <w:color w:val="000000"/>
          <w:sz w:val="20"/>
          <w:szCs w:val="22"/>
        </w:rPr>
        <w:t>,</w:t>
      </w:r>
      <w:proofErr w:type="gramEnd"/>
      <w:r w:rsidRPr="00350134">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sidRPr="00350134">
        <w:rPr>
          <w:color w:val="000000"/>
          <w:sz w:val="20"/>
          <w:szCs w:val="22"/>
        </w:rPr>
        <w:t>Неуказание</w:t>
      </w:r>
      <w:proofErr w:type="spellEnd"/>
      <w:r w:rsidRPr="00350134">
        <w:rPr>
          <w:color w:val="000000"/>
          <w:sz w:val="20"/>
          <w:szCs w:val="22"/>
        </w:rPr>
        <w:t xml:space="preserve"> номера реестровой записи не является основанием для отказа в допуске к участию в закупке</w:t>
      </w:r>
      <w:r w:rsidRPr="00350134">
        <w:rPr>
          <w:rFonts w:eastAsiaTheme="minorHAnsi"/>
          <w:bCs/>
          <w:iCs/>
          <w:snapToGrid w:val="0"/>
          <w:sz w:val="20"/>
          <w:lang w:eastAsia="en-US"/>
        </w:rPr>
        <w:t>.</w:t>
      </w:r>
    </w:p>
  </w:footnote>
  <w:footnote w:id="10">
    <w:p w14:paraId="641FF2E8" w14:textId="77777777" w:rsidR="00B31DDE" w:rsidRPr="00350134" w:rsidRDefault="00B31DDE" w:rsidP="004A07D3">
      <w:pPr>
        <w:pStyle w:val="affff"/>
      </w:pPr>
      <w:r w:rsidRPr="00350134">
        <w:rPr>
          <w:rStyle w:val="affc"/>
        </w:rPr>
        <w:footnoteRef/>
      </w:r>
      <w:r w:rsidRPr="00350134">
        <w:rPr>
          <w:rFonts w:eastAsiaTheme="minorHAnsi"/>
          <w:bCs/>
          <w:iCs/>
          <w:snapToGrid w:val="0"/>
          <w:sz w:val="20"/>
          <w:lang w:eastAsia="en-US"/>
        </w:rPr>
        <w:t xml:space="preserve"> </w:t>
      </w:r>
      <w:r w:rsidRPr="00350134">
        <w:rPr>
          <w:color w:val="000000"/>
          <w:sz w:val="20"/>
          <w:szCs w:val="22"/>
        </w:rPr>
        <w:t>В случае</w:t>
      </w:r>
      <w:proofErr w:type="gramStart"/>
      <w:r w:rsidRPr="00350134">
        <w:rPr>
          <w:color w:val="000000"/>
          <w:sz w:val="20"/>
          <w:szCs w:val="22"/>
        </w:rPr>
        <w:t>,</w:t>
      </w:r>
      <w:proofErr w:type="gramEnd"/>
      <w:r w:rsidRPr="00350134">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sidRPr="00350134">
        <w:rPr>
          <w:color w:val="000000"/>
          <w:sz w:val="20"/>
          <w:szCs w:val="22"/>
        </w:rPr>
        <w:t>Неуказание</w:t>
      </w:r>
      <w:proofErr w:type="spellEnd"/>
      <w:r w:rsidRPr="00350134">
        <w:rPr>
          <w:color w:val="000000"/>
          <w:sz w:val="20"/>
          <w:szCs w:val="22"/>
        </w:rPr>
        <w:t xml:space="preserve"> номера реестровой записи не является основанием для отказа в допуске к участию в закупке</w:t>
      </w:r>
      <w:r w:rsidRPr="00350134">
        <w:rPr>
          <w:rFonts w:eastAsiaTheme="minorHAnsi"/>
          <w:bCs/>
          <w:iCs/>
          <w:snapToGrid w:val="0"/>
          <w:sz w:val="20"/>
          <w:lang w:eastAsia="en-US"/>
        </w:rPr>
        <w:t>.</w:t>
      </w:r>
    </w:p>
  </w:footnote>
  <w:footnote w:id="11">
    <w:p w14:paraId="38B6A26C" w14:textId="77777777" w:rsidR="00B31DDE" w:rsidRPr="00350134" w:rsidRDefault="00B31DDE" w:rsidP="004A07D3">
      <w:pPr>
        <w:pStyle w:val="affff"/>
      </w:pPr>
      <w:r w:rsidRPr="00350134">
        <w:rPr>
          <w:rStyle w:val="affc"/>
        </w:rPr>
        <w:footnoteRef/>
      </w:r>
      <w:r w:rsidRPr="00350134">
        <w:t xml:space="preserve"> </w:t>
      </w:r>
      <w:r w:rsidRPr="00350134">
        <w:rPr>
          <w:color w:val="000000"/>
          <w:sz w:val="20"/>
          <w:szCs w:val="22"/>
        </w:rPr>
        <w:t>В случае</w:t>
      </w:r>
      <w:proofErr w:type="gramStart"/>
      <w:r w:rsidRPr="00350134">
        <w:rPr>
          <w:color w:val="000000"/>
          <w:sz w:val="20"/>
          <w:szCs w:val="22"/>
        </w:rPr>
        <w:t>,</w:t>
      </w:r>
      <w:proofErr w:type="gramEnd"/>
      <w:r w:rsidRPr="00350134">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w:t>
      </w:r>
      <w:proofErr w:type="spellStart"/>
      <w:r w:rsidRPr="00350134">
        <w:rPr>
          <w:color w:val="000000"/>
          <w:sz w:val="20"/>
          <w:szCs w:val="22"/>
        </w:rPr>
        <w:t>Неуказание</w:t>
      </w:r>
      <w:proofErr w:type="spellEnd"/>
      <w:r w:rsidRPr="00350134">
        <w:rPr>
          <w:color w:val="000000"/>
          <w:sz w:val="20"/>
          <w:szCs w:val="22"/>
        </w:rPr>
        <w:t xml:space="preserve"> номера реестровой записи не является основанием для отказа в допуске к участию в закупке</w:t>
      </w:r>
      <w:r w:rsidRPr="00350134">
        <w:rPr>
          <w:rFonts w:eastAsiaTheme="minorHAnsi"/>
          <w:bCs/>
          <w:iCs/>
          <w:snapToGrid w:val="0"/>
          <w:sz w:val="20"/>
          <w:lang w:eastAsia="en-US"/>
        </w:rPr>
        <w:t>.</w:t>
      </w:r>
    </w:p>
  </w:footnote>
  <w:footnote w:id="12">
    <w:p w14:paraId="5181D18A" w14:textId="77777777" w:rsidR="00B31DDE" w:rsidRPr="00350134" w:rsidRDefault="00B31DDE" w:rsidP="004A07D3">
      <w:pPr>
        <w:pStyle w:val="affff"/>
      </w:pPr>
      <w:r w:rsidRPr="00350134">
        <w:rPr>
          <w:rStyle w:val="affc"/>
        </w:rPr>
        <w:footnoteRef/>
      </w:r>
      <w:r w:rsidRPr="00350134">
        <w:t xml:space="preserve"> </w:t>
      </w:r>
      <w:proofErr w:type="gramStart"/>
      <w:r w:rsidRPr="00852EF3">
        <w:rPr>
          <w:sz w:val="20"/>
        </w:rPr>
        <w:t xml:space="preserve">При закупке товара, включенного в ЕНС, сведения о единице измерения по каждой единицы продукции указываются (заполняются) заказчиком при подготовке документации о закупке в строгом соответствии с соответствующими сведениями, указанными в составе требований к продукции (предмету закупки) согласно разделу </w:t>
      </w:r>
      <w:r w:rsidRPr="00852EF3">
        <w:rPr>
          <w:sz w:val="20"/>
        </w:rPr>
        <w:fldChar w:fldCharType="begin"/>
      </w:r>
      <w:r w:rsidRPr="00852EF3">
        <w:rPr>
          <w:sz w:val="20"/>
        </w:rPr>
        <w:instrText xml:space="preserve"> REF _Ref414042300 \r \h  \* MERGEFORMAT </w:instrText>
      </w:r>
      <w:r w:rsidRPr="00852EF3">
        <w:rPr>
          <w:sz w:val="20"/>
        </w:rPr>
      </w:r>
      <w:r w:rsidRPr="00852EF3">
        <w:rPr>
          <w:sz w:val="20"/>
        </w:rPr>
        <w:fldChar w:fldCharType="separate"/>
      </w:r>
      <w:r w:rsidRPr="00852EF3">
        <w:rPr>
          <w:sz w:val="20"/>
        </w:rPr>
        <w:t>9</w:t>
      </w:r>
      <w:r w:rsidRPr="00852EF3">
        <w:rPr>
          <w:sz w:val="20"/>
        </w:rPr>
        <w:fldChar w:fldCharType="end"/>
      </w:r>
      <w:r w:rsidRPr="00852EF3">
        <w:rPr>
          <w:sz w:val="20"/>
        </w:rPr>
        <w:t xml:space="preserve"> (базовая единица измерения каждой единицы закупаемого товара согласно ЕНС); при этом, после заполнения необходимых сведений настоящая сноска подлежит удалению.</w:t>
      </w:r>
      <w:proofErr w:type="gramEnd"/>
      <w:r w:rsidRPr="00852EF3">
        <w:rPr>
          <w:sz w:val="20"/>
        </w:rPr>
        <w:t xml:space="preserve"> В случае закупки товара, не включенного в ЕНС, настоящий столбец заказчиком не заполняется, а сноска подлежит удалению.</w:t>
      </w:r>
    </w:p>
  </w:footnote>
  <w:footnote w:id="13">
    <w:p w14:paraId="0BBCCECC" w14:textId="77777777" w:rsidR="00B31DDE" w:rsidRPr="00F7104D" w:rsidRDefault="00B31DDE"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B31DDE" w:rsidRPr="00FE47AD" w:rsidRDefault="00B31DDE">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B31DDE" w:rsidRPr="00FE47AD" w:rsidRDefault="00B31DDE">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B31DDE" w:rsidRPr="001A2908" w:rsidRDefault="00B31DDE"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4E6D-ED17-4038-8854-01982BE6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20975</Words>
  <Characters>119561</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140256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2022-03-09T09:07:00Z</dcterms:modified>
</cp:coreProperties>
</file>